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19102">
      <w:pPr>
        <w:snapToGrid w:val="0"/>
        <w:spacing w:line="240" w:lineRule="atLeast"/>
        <w:ind w:right="2" w:rightChars="1"/>
        <w:jc w:val="center"/>
        <w:rPr>
          <w:rFonts w:hint="eastAsia" w:ascii="宋体" w:hAnsi="宋体" w:cs="宋体"/>
          <w:b/>
          <w:bCs/>
          <w:sz w:val="44"/>
          <w:szCs w:val="44"/>
          <w:highlight w:val="none"/>
        </w:rPr>
      </w:pPr>
    </w:p>
    <w:p w14:paraId="18CBC385">
      <w:pPr>
        <w:snapToGrid w:val="0"/>
        <w:spacing w:line="240" w:lineRule="atLeast"/>
        <w:ind w:right="2" w:rightChars="1"/>
        <w:jc w:val="center"/>
        <w:rPr>
          <w:rFonts w:hint="eastAsia" w:ascii="宋体" w:hAnsi="宋体" w:cs="宋体"/>
          <w:b/>
          <w:bCs/>
          <w:sz w:val="44"/>
          <w:szCs w:val="44"/>
          <w:highlight w:val="none"/>
        </w:rPr>
      </w:pPr>
    </w:p>
    <w:p w14:paraId="7A371FD3">
      <w:pPr>
        <w:snapToGrid w:val="0"/>
        <w:spacing w:line="240" w:lineRule="atLeast"/>
        <w:ind w:right="2" w:rightChars="1"/>
        <w:jc w:val="center"/>
        <w:rPr>
          <w:rFonts w:hint="eastAsia" w:ascii="宋体" w:hAnsi="宋体" w:cs="宋体"/>
          <w:b/>
          <w:bCs/>
          <w:sz w:val="44"/>
          <w:szCs w:val="44"/>
          <w:highlight w:val="none"/>
        </w:rPr>
      </w:pPr>
    </w:p>
    <w:p w14:paraId="12CFA418">
      <w:pPr>
        <w:snapToGrid w:val="0"/>
        <w:spacing w:line="240" w:lineRule="atLeast"/>
        <w:ind w:right="2" w:rightChars="1"/>
        <w:jc w:val="center"/>
        <w:rPr>
          <w:rFonts w:hint="eastAsia" w:ascii="宋体" w:hAnsi="宋体"/>
          <w:sz w:val="44"/>
          <w:szCs w:val="44"/>
          <w:highlight w:val="none"/>
        </w:rPr>
      </w:pPr>
      <w:r>
        <w:rPr>
          <w:rFonts w:hint="eastAsia" w:ascii="宋体" w:hAnsi="宋体" w:cs="宋体"/>
          <w:b/>
          <w:bCs/>
          <w:sz w:val="44"/>
          <w:szCs w:val="44"/>
          <w:highlight w:val="none"/>
        </w:rPr>
        <w:t>酒泉钢铁（集团）宏兴股份公司</w:t>
      </w:r>
    </w:p>
    <w:p w14:paraId="737DE224">
      <w:pPr>
        <w:snapToGrid w:val="0"/>
        <w:spacing w:line="240" w:lineRule="atLeast"/>
        <w:ind w:right="2" w:rightChars="1"/>
        <w:jc w:val="center"/>
        <w:rPr>
          <w:rFonts w:hint="eastAsia" w:ascii="宋体" w:hAnsi="宋体"/>
          <w:sz w:val="44"/>
          <w:szCs w:val="44"/>
          <w:highlight w:val="none"/>
        </w:rPr>
      </w:pPr>
      <w:r>
        <w:rPr>
          <w:rFonts w:hint="eastAsia" w:ascii="宋体" w:hAnsi="宋体"/>
          <w:sz w:val="44"/>
          <w:szCs w:val="44"/>
          <w:highlight w:val="none"/>
        </w:rPr>
        <w:t>（</w:t>
      </w:r>
      <w:r>
        <w:rPr>
          <w:rFonts w:hint="eastAsia" w:hAnsi="宋体" w:eastAsia="宋体"/>
          <w:sz w:val="44"/>
          <w:szCs w:val="44"/>
          <w:highlight w:val="none"/>
          <w:lang w:eastAsia="zh-CN"/>
        </w:rPr>
        <w:t>采购设备名称：化工泵</w:t>
      </w:r>
      <w:r>
        <w:rPr>
          <w:rFonts w:hint="eastAsia" w:ascii="宋体" w:hAnsi="宋体"/>
          <w:sz w:val="44"/>
          <w:szCs w:val="44"/>
          <w:highlight w:val="none"/>
        </w:rPr>
        <w:t>）</w:t>
      </w:r>
    </w:p>
    <w:p w14:paraId="7835EE35">
      <w:pPr>
        <w:snapToGrid w:val="0"/>
        <w:spacing w:line="240" w:lineRule="atLeast"/>
        <w:ind w:right="2" w:rightChars="1"/>
        <w:jc w:val="center"/>
        <w:rPr>
          <w:rFonts w:hint="eastAsia" w:ascii="宋体" w:hAnsi="宋体" w:eastAsia="宋体"/>
          <w:sz w:val="44"/>
          <w:szCs w:val="44"/>
          <w:lang w:eastAsia="zh-CN"/>
        </w:rPr>
      </w:pPr>
      <w:r>
        <w:rPr>
          <w:rFonts w:hint="eastAsia" w:eastAsia="宋体"/>
          <w:sz w:val="44"/>
          <w:szCs w:val="44"/>
          <w:lang w:eastAsia="zh-CN"/>
        </w:rPr>
        <w:t>技术规格书</w:t>
      </w:r>
    </w:p>
    <w:p w14:paraId="049C9DD5">
      <w:pPr>
        <w:rPr>
          <w:rFonts w:hint="eastAsia" w:ascii="宋体" w:hAnsi="宋体"/>
          <w:b/>
          <w:bCs/>
          <w:sz w:val="32"/>
          <w:highlight w:val="none"/>
        </w:rPr>
      </w:pPr>
    </w:p>
    <w:p w14:paraId="5F02BCAD">
      <w:pPr>
        <w:rPr>
          <w:rFonts w:hint="eastAsia" w:ascii="宋体" w:hAnsi="宋体"/>
          <w:b/>
          <w:bCs/>
          <w:sz w:val="32"/>
          <w:highlight w:val="none"/>
        </w:rPr>
      </w:pPr>
    </w:p>
    <w:p w14:paraId="206D5E14">
      <w:pPr>
        <w:rPr>
          <w:rFonts w:hint="eastAsia" w:ascii="宋体" w:hAnsi="宋体"/>
          <w:b/>
          <w:bCs/>
          <w:sz w:val="32"/>
          <w:highlight w:val="none"/>
        </w:rPr>
      </w:pPr>
      <w:bookmarkStart w:id="2" w:name="_GoBack"/>
      <w:bookmarkEnd w:id="2"/>
    </w:p>
    <w:p w14:paraId="70AE1F77">
      <w:pPr>
        <w:rPr>
          <w:rFonts w:hint="eastAsia" w:ascii="宋体" w:hAnsi="宋体"/>
          <w:b/>
          <w:bCs/>
          <w:sz w:val="32"/>
          <w:highlight w:val="none"/>
        </w:rPr>
      </w:pPr>
    </w:p>
    <w:p w14:paraId="1A6F87E9">
      <w:pPr>
        <w:rPr>
          <w:rFonts w:hint="eastAsia" w:ascii="宋体" w:hAnsi="宋体"/>
          <w:b/>
          <w:bCs/>
          <w:sz w:val="32"/>
          <w:highlight w:val="none"/>
        </w:rPr>
      </w:pPr>
    </w:p>
    <w:p w14:paraId="0EAC55E7">
      <w:pPr>
        <w:rPr>
          <w:rFonts w:hint="eastAsia" w:ascii="宋体" w:hAnsi="宋体"/>
          <w:b/>
          <w:bCs/>
          <w:sz w:val="32"/>
          <w:highlight w:val="none"/>
        </w:rPr>
      </w:pPr>
    </w:p>
    <w:p w14:paraId="058A03F4">
      <w:pPr>
        <w:rPr>
          <w:rFonts w:hint="eastAsia" w:ascii="宋体" w:hAnsi="宋体"/>
          <w:b/>
          <w:bCs/>
          <w:sz w:val="32"/>
          <w:highlight w:val="none"/>
        </w:rPr>
      </w:pPr>
    </w:p>
    <w:p w14:paraId="1B6CC695">
      <w:pPr>
        <w:rPr>
          <w:rFonts w:hint="eastAsia" w:ascii="宋体" w:hAnsi="宋体"/>
          <w:b/>
          <w:bCs/>
          <w:sz w:val="32"/>
          <w:highlight w:val="none"/>
        </w:rPr>
      </w:pPr>
    </w:p>
    <w:p w14:paraId="069C170A">
      <w:pPr>
        <w:rPr>
          <w:rFonts w:hint="eastAsia" w:ascii="宋体" w:hAnsi="宋体"/>
          <w:b/>
          <w:bCs/>
          <w:sz w:val="32"/>
          <w:highlight w:val="none"/>
        </w:rPr>
      </w:pPr>
    </w:p>
    <w:p w14:paraId="79FF7901">
      <w:pPr>
        <w:pStyle w:val="4"/>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14:paraId="1BFA6701">
      <w:pPr>
        <w:pStyle w:val="4"/>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甲  方：酒泉钢铁（集团）宏兴股份公司动力厂</w:t>
      </w:r>
    </w:p>
    <w:p w14:paraId="6897DA60">
      <w:pPr>
        <w:pStyle w:val="4"/>
        <w:wordWrap/>
        <w:autoSpaceDE/>
        <w:autoSpaceDN/>
        <w:spacing w:before="0" w:after="0" w:line="360" w:lineRule="auto"/>
        <w:ind w:left="0" w:firstLine="1124" w:firstLineChars="400"/>
        <w:rPr>
          <w:rFonts w:hint="default"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 xml:space="preserve">乙  方： </w:t>
      </w:r>
    </w:p>
    <w:p w14:paraId="3D5D65F6">
      <w:pPr>
        <w:pStyle w:val="4"/>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14:paraId="4F17F4AE">
      <w:pPr>
        <w:rPr>
          <w:highlight w:val="none"/>
        </w:rPr>
      </w:pPr>
    </w:p>
    <w:p w14:paraId="4B2CAF12">
      <w:pPr>
        <w:rPr>
          <w:highlight w:val="none"/>
        </w:rPr>
      </w:pPr>
    </w:p>
    <w:p w14:paraId="1A9543DB">
      <w:pPr>
        <w:rPr>
          <w:highlight w:val="none"/>
        </w:rPr>
      </w:pPr>
    </w:p>
    <w:p w14:paraId="6C4F8440">
      <w:pPr>
        <w:rPr>
          <w:highlight w:val="none"/>
        </w:rPr>
      </w:pPr>
    </w:p>
    <w:p w14:paraId="5F735360">
      <w:pPr>
        <w:rPr>
          <w:highlight w:val="none"/>
        </w:rPr>
      </w:pPr>
    </w:p>
    <w:p w14:paraId="533E5F6B">
      <w:pPr>
        <w:rPr>
          <w:highlight w:val="none"/>
        </w:rPr>
      </w:pPr>
    </w:p>
    <w:p w14:paraId="51827105">
      <w:pPr>
        <w:rPr>
          <w:highlight w:val="none"/>
        </w:rPr>
      </w:pPr>
    </w:p>
    <w:p w14:paraId="2B0F039B">
      <w:pPr>
        <w:spacing w:line="460" w:lineRule="exact"/>
        <w:jc w:val="center"/>
        <w:rPr>
          <w:rFonts w:hint="eastAsia" w:eastAsia="宋体"/>
          <w:b/>
          <w:sz w:val="36"/>
          <w:highlight w:val="none"/>
          <w:lang w:val="en-US" w:eastAsia="zh-CN"/>
        </w:rPr>
      </w:pPr>
      <w:r>
        <w:rPr>
          <w:rFonts w:hint="eastAsia" w:eastAsia="宋体"/>
          <w:b/>
          <w:sz w:val="36"/>
          <w:highlight w:val="none"/>
          <w:lang w:val="en-US" w:eastAsia="zh-CN"/>
        </w:rPr>
        <w:t xml:space="preserve"> </w:t>
      </w:r>
    </w:p>
    <w:p w14:paraId="775758D7">
      <w:pPr>
        <w:spacing w:line="460" w:lineRule="exact"/>
        <w:jc w:val="center"/>
        <w:rPr>
          <w:rFonts w:hint="eastAsia" w:eastAsia="宋体"/>
          <w:b/>
          <w:sz w:val="36"/>
          <w:highlight w:val="none"/>
          <w:lang w:val="en-US" w:eastAsia="zh-CN"/>
        </w:rPr>
      </w:pPr>
    </w:p>
    <w:p w14:paraId="722F47AD">
      <w:pPr>
        <w:spacing w:line="460" w:lineRule="exact"/>
        <w:jc w:val="center"/>
        <w:rPr>
          <w:rFonts w:hint="eastAsia" w:eastAsia="宋体"/>
          <w:b/>
          <w:sz w:val="36"/>
          <w:highlight w:val="none"/>
          <w:lang w:val="en-US" w:eastAsia="zh-CN"/>
        </w:rPr>
      </w:pPr>
    </w:p>
    <w:p w14:paraId="06CBFA81">
      <w:pPr>
        <w:spacing w:line="460" w:lineRule="exact"/>
        <w:jc w:val="center"/>
        <w:rPr>
          <w:rFonts w:hint="eastAsia" w:eastAsia="宋体"/>
          <w:b/>
          <w:sz w:val="36"/>
          <w:highlight w:val="none"/>
          <w:lang w:val="en-US" w:eastAsia="zh-CN"/>
        </w:rPr>
      </w:pPr>
    </w:p>
    <w:p w14:paraId="240B846A">
      <w:pPr>
        <w:spacing w:line="460" w:lineRule="exact"/>
        <w:jc w:val="center"/>
        <w:rPr>
          <w:rFonts w:hint="eastAsia" w:eastAsia="宋体"/>
          <w:b/>
          <w:sz w:val="36"/>
          <w:highlight w:val="none"/>
          <w:lang w:val="en-US" w:eastAsia="zh-CN"/>
        </w:rPr>
      </w:pPr>
    </w:p>
    <w:p w14:paraId="5AD42BBE">
      <w:pPr>
        <w:spacing w:line="460" w:lineRule="exact"/>
        <w:jc w:val="center"/>
        <w:rPr>
          <w:rFonts w:eastAsia="宋体"/>
          <w:b/>
          <w:sz w:val="36"/>
          <w:highlight w:val="none"/>
        </w:rPr>
      </w:pPr>
      <w:r>
        <w:rPr>
          <w:rFonts w:hint="eastAsia" w:eastAsia="宋体"/>
          <w:b/>
          <w:sz w:val="36"/>
          <w:highlight w:val="none"/>
        </w:rPr>
        <w:t>目</w:t>
      </w:r>
      <w:r>
        <w:rPr>
          <w:rFonts w:hint="eastAsia" w:eastAsia="宋体"/>
          <w:b/>
          <w:sz w:val="36"/>
          <w:highlight w:val="none"/>
          <w:lang w:val="en-US" w:eastAsia="zh-CN"/>
        </w:rPr>
        <w:t xml:space="preserve">  </w:t>
      </w:r>
      <w:r>
        <w:rPr>
          <w:rFonts w:hint="eastAsia" w:eastAsia="宋体"/>
          <w:b/>
          <w:sz w:val="36"/>
          <w:highlight w:val="none"/>
        </w:rPr>
        <w:t>录</w:t>
      </w:r>
    </w:p>
    <w:p w14:paraId="5824919E">
      <w:pPr>
        <w:spacing w:line="460" w:lineRule="exact"/>
        <w:ind w:firstLine="3791"/>
        <w:rPr>
          <w:rFonts w:hint="eastAsia" w:ascii="仿宋_GB2312" w:hAnsi="仿宋_GB2312" w:eastAsia="仿宋_GB2312" w:cs="仿宋_GB2312"/>
          <w:b/>
          <w:sz w:val="30"/>
          <w:szCs w:val="30"/>
          <w:highlight w:val="none"/>
        </w:rPr>
      </w:pPr>
    </w:p>
    <w:p w14:paraId="6894AAFF">
      <w:pPr>
        <w:spacing w:before="260" w:line="223" w:lineRule="auto"/>
        <w:ind w:left="643"/>
        <w:outlineLvl w:val="2"/>
        <w:rPr>
          <w:rFonts w:ascii="仿宋" w:hAnsi="仿宋" w:eastAsia="仿宋" w:cs="仿宋"/>
          <w:b/>
          <w:bCs/>
          <w:spacing w:val="-8"/>
          <w:sz w:val="30"/>
          <w:szCs w:val="30"/>
        </w:rPr>
      </w:pPr>
      <w:r>
        <w:rPr>
          <w:rFonts w:ascii="仿宋" w:hAnsi="仿宋" w:eastAsia="仿宋" w:cs="仿宋"/>
          <w:b/>
          <w:bCs/>
          <w:spacing w:val="-8"/>
          <w:sz w:val="30"/>
          <w:szCs w:val="30"/>
        </w:rPr>
        <w:t>一、总则</w:t>
      </w:r>
    </w:p>
    <w:p w14:paraId="3FE84F9E">
      <w:pPr>
        <w:spacing w:before="260" w:line="223" w:lineRule="auto"/>
        <w:ind w:left="643"/>
        <w:outlineLvl w:val="2"/>
        <w:rPr>
          <w:rFonts w:ascii="仿宋" w:hAnsi="仿宋" w:eastAsia="仿宋" w:cs="仿宋"/>
          <w:b/>
          <w:bCs/>
          <w:spacing w:val="-8"/>
          <w:sz w:val="30"/>
          <w:szCs w:val="30"/>
        </w:rPr>
      </w:pPr>
      <w:r>
        <w:rPr>
          <w:rFonts w:ascii="仿宋" w:hAnsi="仿宋" w:eastAsia="仿宋" w:cs="仿宋"/>
          <w:b/>
          <w:bCs/>
          <w:spacing w:val="-8"/>
          <w:sz w:val="30"/>
          <w:szCs w:val="30"/>
        </w:rPr>
        <w:t>二、供货范围</w:t>
      </w:r>
    </w:p>
    <w:p w14:paraId="07AF2724">
      <w:pPr>
        <w:spacing w:before="260" w:line="223" w:lineRule="auto"/>
        <w:ind w:left="643"/>
        <w:outlineLvl w:val="2"/>
        <w:rPr>
          <w:rFonts w:ascii="仿宋" w:hAnsi="仿宋" w:eastAsia="仿宋" w:cs="仿宋"/>
          <w:b/>
          <w:bCs/>
          <w:spacing w:val="-8"/>
          <w:sz w:val="30"/>
          <w:szCs w:val="30"/>
        </w:rPr>
      </w:pPr>
      <w:r>
        <w:rPr>
          <w:rFonts w:ascii="仿宋" w:hAnsi="仿宋" w:eastAsia="仿宋" w:cs="仿宋"/>
          <w:b/>
          <w:bCs/>
          <w:spacing w:val="-8"/>
          <w:sz w:val="30"/>
          <w:szCs w:val="30"/>
        </w:rPr>
        <w:t>三、设备参数、制造技术要求</w:t>
      </w:r>
    </w:p>
    <w:p w14:paraId="1D409DA4">
      <w:pPr>
        <w:spacing w:before="260" w:line="223" w:lineRule="auto"/>
        <w:ind w:left="643"/>
        <w:outlineLvl w:val="2"/>
        <w:rPr>
          <w:rFonts w:ascii="仿宋" w:hAnsi="仿宋" w:eastAsia="仿宋" w:cs="仿宋"/>
          <w:b/>
          <w:bCs/>
          <w:spacing w:val="-8"/>
          <w:sz w:val="30"/>
          <w:szCs w:val="30"/>
        </w:rPr>
      </w:pPr>
      <w:r>
        <w:rPr>
          <w:rFonts w:ascii="仿宋" w:hAnsi="仿宋" w:eastAsia="仿宋" w:cs="仿宋"/>
          <w:b/>
          <w:bCs/>
          <w:spacing w:val="-8"/>
          <w:sz w:val="30"/>
          <w:szCs w:val="30"/>
        </w:rPr>
        <w:t>四、</w:t>
      </w:r>
      <w:r>
        <w:rPr>
          <w:rFonts w:hint="eastAsia" w:ascii="仿宋" w:hAnsi="仿宋" w:eastAsia="仿宋" w:cs="仿宋"/>
          <w:b/>
          <w:bCs/>
          <w:spacing w:val="-8"/>
          <w:sz w:val="30"/>
          <w:szCs w:val="30"/>
          <w:lang w:eastAsia="zh-CN"/>
        </w:rPr>
        <w:t>验收及技术服务</w:t>
      </w:r>
    </w:p>
    <w:p w14:paraId="7C6EF3D3">
      <w:pPr>
        <w:spacing w:before="260" w:line="223" w:lineRule="auto"/>
        <w:ind w:left="643"/>
        <w:outlineLvl w:val="2"/>
        <w:rPr>
          <w:rFonts w:hint="eastAsia" w:ascii="仿宋" w:hAnsi="仿宋" w:eastAsia="仿宋" w:cs="仿宋"/>
          <w:b/>
          <w:bCs/>
          <w:spacing w:val="-8"/>
          <w:sz w:val="30"/>
          <w:szCs w:val="30"/>
          <w:lang w:val="en-US" w:eastAsia="zh-CN"/>
        </w:rPr>
      </w:pPr>
      <w:r>
        <w:rPr>
          <w:rFonts w:ascii="仿宋" w:hAnsi="仿宋" w:eastAsia="仿宋" w:cs="仿宋"/>
          <w:b/>
          <w:bCs/>
          <w:spacing w:val="-8"/>
          <w:sz w:val="30"/>
          <w:szCs w:val="30"/>
        </w:rPr>
        <w:t>五、提供资料</w:t>
      </w:r>
    </w:p>
    <w:p w14:paraId="1C002B08">
      <w:pPr>
        <w:spacing w:before="260" w:line="223" w:lineRule="auto"/>
        <w:ind w:left="643"/>
        <w:outlineLvl w:val="2"/>
        <w:rPr>
          <w:rFonts w:ascii="仿宋" w:hAnsi="仿宋" w:eastAsia="仿宋" w:cs="仿宋"/>
          <w:b/>
          <w:bCs/>
          <w:spacing w:val="-8"/>
          <w:sz w:val="30"/>
          <w:szCs w:val="30"/>
        </w:rPr>
      </w:pPr>
      <w:r>
        <w:rPr>
          <w:rFonts w:hint="eastAsia" w:ascii="仿宋" w:hAnsi="仿宋" w:eastAsia="仿宋" w:cs="仿宋"/>
          <w:b/>
          <w:bCs/>
          <w:spacing w:val="-8"/>
          <w:sz w:val="30"/>
          <w:szCs w:val="30"/>
          <w:lang w:eastAsia="zh-CN"/>
        </w:rPr>
        <w:t>六</w:t>
      </w:r>
      <w:r>
        <w:rPr>
          <w:rFonts w:ascii="仿宋" w:hAnsi="仿宋" w:eastAsia="仿宋" w:cs="仿宋"/>
          <w:b/>
          <w:bCs/>
          <w:spacing w:val="-8"/>
          <w:sz w:val="30"/>
          <w:szCs w:val="30"/>
        </w:rPr>
        <w:t>、交货时间及地点</w:t>
      </w:r>
    </w:p>
    <w:p w14:paraId="65222221">
      <w:pPr>
        <w:spacing w:before="260" w:line="222" w:lineRule="auto"/>
        <w:ind w:left="642"/>
        <w:outlineLvl w:val="2"/>
        <w:rPr>
          <w:rFonts w:ascii="仿宋" w:hAnsi="仿宋" w:eastAsia="仿宋" w:cs="仿宋"/>
          <w:sz w:val="30"/>
          <w:szCs w:val="30"/>
        </w:rPr>
      </w:pPr>
      <w:r>
        <w:rPr>
          <w:rFonts w:hint="eastAsia" w:ascii="仿宋" w:hAnsi="仿宋" w:eastAsia="仿宋" w:cs="仿宋"/>
          <w:b/>
          <w:bCs/>
          <w:spacing w:val="-10"/>
          <w:sz w:val="30"/>
          <w:szCs w:val="30"/>
          <w:lang w:eastAsia="zh-CN"/>
        </w:rPr>
        <w:t>七</w:t>
      </w:r>
      <w:r>
        <w:rPr>
          <w:rFonts w:ascii="仿宋" w:hAnsi="仿宋" w:eastAsia="仿宋" w:cs="仿宋"/>
          <w:b/>
          <w:bCs/>
          <w:spacing w:val="-10"/>
          <w:sz w:val="30"/>
          <w:szCs w:val="30"/>
        </w:rPr>
        <w:t>、其他</w:t>
      </w:r>
    </w:p>
    <w:p w14:paraId="0AB552CC">
      <w:pPr>
        <w:pStyle w:val="5"/>
        <w:rPr>
          <w:rFonts w:hint="eastAsia"/>
          <w:highlight w:val="none"/>
          <w:lang w:val="en-US" w:eastAsia="zh-CN"/>
        </w:rPr>
      </w:pPr>
    </w:p>
    <w:p w14:paraId="618321A9">
      <w:pPr>
        <w:pStyle w:val="5"/>
        <w:rPr>
          <w:rFonts w:hint="eastAsia"/>
          <w:highlight w:val="none"/>
          <w:lang w:val="en-US" w:eastAsia="zh-CN"/>
        </w:rPr>
      </w:pPr>
    </w:p>
    <w:p w14:paraId="258862B8">
      <w:pPr>
        <w:pStyle w:val="5"/>
        <w:rPr>
          <w:rFonts w:hint="eastAsia"/>
          <w:highlight w:val="none"/>
          <w:lang w:val="en-US" w:eastAsia="zh-CN"/>
        </w:rPr>
      </w:pPr>
    </w:p>
    <w:p w14:paraId="10591D9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190E08D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43660C4A">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6E11FEB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0C0F085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14:paraId="050CF6B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default"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甘肃酒钢集团宏兴钢铁股份有限公司动力厂</w:t>
      </w:r>
      <w:r>
        <w:rPr>
          <w:rFonts w:hint="eastAsia" w:ascii="仿宋_GB2312" w:hAnsi="仿宋_GB2312" w:eastAsia="仿宋_GB2312" w:cs="仿宋_GB2312"/>
          <w:b w:val="0"/>
          <w:bCs w:val="0"/>
          <w:kern w:val="2"/>
          <w:sz w:val="30"/>
          <w:szCs w:val="30"/>
          <w:highlight w:val="none"/>
          <w:lang w:val="en-GB" w:eastAsia="zh-CN"/>
        </w:rPr>
        <w:t>（以下称甲方）与</w:t>
      </w:r>
      <w:r>
        <w:rPr>
          <w:rFonts w:hint="eastAsia" w:ascii="仿宋_GB2312" w:hAnsi="仿宋_GB2312" w:eastAsia="仿宋_GB2312" w:cs="仿宋_GB2312"/>
          <w:b w:val="0"/>
          <w:bCs w:val="0"/>
          <w:kern w:val="2"/>
          <w:sz w:val="30"/>
          <w:szCs w:val="30"/>
          <w:highlight w:val="none"/>
          <w:u w:val="single"/>
          <w:lang w:val="en-US" w:eastAsia="zh-CN"/>
        </w:rPr>
        <w:t xml:space="preserve">                   </w:t>
      </w:r>
      <w:r>
        <w:rPr>
          <w:rFonts w:hint="eastAsia" w:ascii="仿宋_GB2312" w:hAnsi="仿宋_GB2312" w:eastAsia="仿宋_GB2312" w:cs="仿宋_GB2312"/>
          <w:b w:val="0"/>
          <w:bCs w:val="0"/>
          <w:kern w:val="2"/>
          <w:sz w:val="30"/>
          <w:szCs w:val="30"/>
          <w:highlight w:val="none"/>
          <w:lang w:val="en-GB" w:eastAsia="zh-CN"/>
        </w:rPr>
        <w:t>（以下称乙方）就甲方</w:t>
      </w:r>
      <w:r>
        <w:rPr>
          <w:rFonts w:hint="eastAsia" w:ascii="仿宋_GB2312" w:hAnsi="仿宋_GB2312" w:eastAsia="仿宋_GB2312" w:cs="仿宋_GB2312"/>
          <w:b w:val="0"/>
          <w:bCs w:val="0"/>
          <w:sz w:val="30"/>
          <w:szCs w:val="30"/>
          <w:highlight w:val="none"/>
          <w:lang w:val="en-US" w:eastAsia="zh-CN"/>
        </w:rPr>
        <w:t>化工泵</w:t>
      </w:r>
      <w:r>
        <w:rPr>
          <w:rFonts w:hint="eastAsia" w:ascii="仿宋_GB2312" w:hAnsi="仿宋_GB2312" w:eastAsia="仿宋_GB2312" w:cs="仿宋_GB2312"/>
          <w:b w:val="0"/>
          <w:bCs w:val="0"/>
          <w:kern w:val="2"/>
          <w:sz w:val="30"/>
          <w:szCs w:val="30"/>
          <w:highlight w:val="none"/>
          <w:lang w:val="en-GB" w:eastAsia="zh-CN"/>
        </w:rPr>
        <w:t>采购经双方协商，达成如下技术规格书：</w:t>
      </w:r>
    </w:p>
    <w:p w14:paraId="05331131">
      <w:pPr>
        <w:pStyle w:val="5"/>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bCs/>
          <w:sz w:val="30"/>
          <w:szCs w:val="30"/>
          <w:highlight w:val="none"/>
          <w:lang w:val="en-US" w:eastAsia="zh-CN"/>
        </w:rPr>
        <w:t>一、总则</w:t>
      </w:r>
    </w:p>
    <w:p w14:paraId="3F1FC05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本技术规格书作为甲方设备订货合同的附件，与订货合同同时生效，具有同等法律效力。合同执行期间双方再协商形成的补充规格书和追加条款也具有同等法律效力。它提出设备的功能设计、结构、性能、安装和试验等方面的技术要求。</w:t>
      </w:r>
    </w:p>
    <w:p w14:paraId="15C895B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本技术规格书提出的是最低限度的技术要求，并未对一切技术要求作出详细规定，也未充分引述有关标准及规范的条文。乙方应保证提供符合本规范书和相关的国际、国内工业标准的高质量产品及相应服务，对国家有关安全、环保等强制性标准，必须满足其要求。</w:t>
      </w:r>
    </w:p>
    <w:p w14:paraId="30C1E1ED">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3.乙方提供的设备应是成熟可靠、技术先进的产品，在钢铁行业机组有2家及以上运行超过3年，已证明安全可靠的优质产品。</w:t>
      </w:r>
    </w:p>
    <w:p w14:paraId="5A404A73">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4.对于国家明令禁止使用的和已淘汰的产品和设备，一律不准在本工程中使用。</w:t>
      </w:r>
    </w:p>
    <w:p w14:paraId="718A8E3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5.若乙方所提供的投标文件前后有不一致的地方，应以更有利于设备安装运行、工程质量为原则，由甲方确定。</w:t>
      </w:r>
    </w:p>
    <w:p w14:paraId="655B219B">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6. 本技术规格书所引用的标准若与乙方所执行的标准发生矛盾时，按较高的标准执行。乙方在设备设计和制造中所涉及的各项规程、规范和标准必须遵循现行最新标准版本。</w:t>
      </w:r>
    </w:p>
    <w:p w14:paraId="1896B94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7.乙方对所提供的全套系统设备（含辅助系统与设备）负有全责。</w:t>
      </w:r>
    </w:p>
    <w:p w14:paraId="62E54578">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8.在合同签订后，甲方有权因规范、标准、规程发生变化而提出一些补充要求。在设备投料生产前，乙方应在设计上给予修改，具体项目由供需双方共同商定。</w:t>
      </w:r>
    </w:p>
    <w:p w14:paraId="232C8FE9">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9. 在合同签订15天内，按本技术规格书的要求，乙方提出合同设备的设计、制造、检验/试验、装配、安装、调试、试运、验收、试验、运行和维护等标准清单给甲方，供甲方确认。</w:t>
      </w:r>
    </w:p>
    <w:p w14:paraId="2FE168A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10.乙方在合同货物制造中，发生侵犯专利的行为时其侵权责任与甲方无关。</w:t>
      </w:r>
    </w:p>
    <w:p w14:paraId="51ED188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val="0"/>
          <w:bCs w:val="0"/>
          <w:kern w:val="2"/>
          <w:sz w:val="30"/>
          <w:szCs w:val="30"/>
          <w:highlight w:val="none"/>
          <w:lang w:val="en-US" w:eastAsia="zh-CN"/>
        </w:rPr>
        <w:t>11.乙方须对水泵设计的完整性、合理性和设计质量承担全部责任。</w:t>
      </w:r>
    </w:p>
    <w:p w14:paraId="41C95AA8">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w:t>
      </w:r>
    </w:p>
    <w:tbl>
      <w:tblPr>
        <w:tblStyle w:val="6"/>
        <w:tblW w:w="8740" w:type="dxa"/>
        <w:tblInd w:w="0" w:type="dxa"/>
        <w:tblLayout w:type="fixed"/>
        <w:tblCellMar>
          <w:top w:w="0" w:type="dxa"/>
          <w:left w:w="108" w:type="dxa"/>
          <w:bottom w:w="0" w:type="dxa"/>
          <w:right w:w="108" w:type="dxa"/>
        </w:tblCellMar>
      </w:tblPr>
      <w:tblGrid>
        <w:gridCol w:w="666"/>
        <w:gridCol w:w="1953"/>
        <w:gridCol w:w="1950"/>
        <w:gridCol w:w="1243"/>
        <w:gridCol w:w="1245"/>
        <w:gridCol w:w="1683"/>
      </w:tblGrid>
      <w:tr w14:paraId="133885DB">
        <w:tblPrEx>
          <w:tblCellMar>
            <w:top w:w="0" w:type="dxa"/>
            <w:left w:w="108" w:type="dxa"/>
            <w:bottom w:w="0" w:type="dxa"/>
            <w:right w:w="108" w:type="dxa"/>
          </w:tblCellMar>
        </w:tblPrEx>
        <w:trPr>
          <w:trHeight w:val="653" w:hRule="atLeast"/>
        </w:trPr>
        <w:tc>
          <w:tcPr>
            <w:tcW w:w="666" w:type="dxa"/>
            <w:tcBorders>
              <w:top w:val="single" w:color="auto" w:sz="4" w:space="0"/>
              <w:left w:val="single" w:color="auto" w:sz="4" w:space="0"/>
              <w:bottom w:val="single" w:color="auto" w:sz="4" w:space="0"/>
              <w:right w:val="single" w:color="auto" w:sz="4" w:space="0"/>
            </w:tcBorders>
            <w:noWrap w:val="0"/>
            <w:vAlign w:val="center"/>
          </w:tcPr>
          <w:p w14:paraId="0CDC0C4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序号</w:t>
            </w:r>
          </w:p>
        </w:tc>
        <w:tc>
          <w:tcPr>
            <w:tcW w:w="1953" w:type="dxa"/>
            <w:tcBorders>
              <w:top w:val="single" w:color="auto" w:sz="4" w:space="0"/>
              <w:left w:val="single" w:color="auto" w:sz="4" w:space="0"/>
              <w:bottom w:val="single" w:color="auto" w:sz="4" w:space="0"/>
              <w:right w:val="single" w:color="auto" w:sz="4" w:space="0"/>
            </w:tcBorders>
            <w:noWrap w:val="0"/>
            <w:vAlign w:val="center"/>
          </w:tcPr>
          <w:p w14:paraId="6F12FFF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物料名称</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17AC2A3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规格型号</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144863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物料编码</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2ECCD6B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数量</w:t>
            </w:r>
          </w:p>
        </w:tc>
        <w:tc>
          <w:tcPr>
            <w:tcW w:w="1683" w:type="dxa"/>
            <w:tcBorders>
              <w:top w:val="single" w:color="auto" w:sz="4" w:space="0"/>
              <w:left w:val="single" w:color="auto" w:sz="4" w:space="0"/>
              <w:bottom w:val="single" w:color="auto" w:sz="4" w:space="0"/>
              <w:right w:val="single" w:color="auto" w:sz="4" w:space="0"/>
            </w:tcBorders>
            <w:noWrap w:val="0"/>
            <w:vAlign w:val="center"/>
          </w:tcPr>
          <w:p w14:paraId="2AD7561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备注</w:t>
            </w:r>
          </w:p>
        </w:tc>
      </w:tr>
      <w:tr w14:paraId="22548E10">
        <w:tblPrEx>
          <w:tblCellMar>
            <w:top w:w="0" w:type="dxa"/>
            <w:left w:w="108" w:type="dxa"/>
            <w:bottom w:w="0" w:type="dxa"/>
            <w:right w:w="108" w:type="dxa"/>
          </w:tblCellMar>
        </w:tblPrEx>
        <w:trPr>
          <w:trHeight w:val="653" w:hRule="atLeast"/>
        </w:trPr>
        <w:tc>
          <w:tcPr>
            <w:tcW w:w="666" w:type="dxa"/>
            <w:tcBorders>
              <w:top w:val="single" w:color="auto" w:sz="4" w:space="0"/>
              <w:left w:val="single" w:color="auto" w:sz="4" w:space="0"/>
              <w:bottom w:val="single" w:color="auto" w:sz="4" w:space="0"/>
              <w:right w:val="single" w:color="auto" w:sz="4" w:space="0"/>
            </w:tcBorders>
            <w:noWrap w:val="0"/>
            <w:vAlign w:val="center"/>
          </w:tcPr>
          <w:p w14:paraId="3F8A8DF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spacing w:val="-6"/>
                <w:lang w:val="en-US" w:eastAsia="zh-CN"/>
              </w:rPr>
              <w:t>1</w:t>
            </w:r>
          </w:p>
        </w:tc>
        <w:tc>
          <w:tcPr>
            <w:tcW w:w="1953" w:type="dxa"/>
            <w:tcBorders>
              <w:top w:val="single" w:color="auto" w:sz="4" w:space="0"/>
              <w:left w:val="single" w:color="auto" w:sz="4" w:space="0"/>
              <w:bottom w:val="single" w:color="auto" w:sz="4" w:space="0"/>
              <w:right w:val="single" w:color="auto" w:sz="4" w:space="0"/>
            </w:tcBorders>
            <w:noWrap w:val="0"/>
            <w:vAlign w:val="center"/>
          </w:tcPr>
          <w:p w14:paraId="6365FD5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spacing w:val="-6"/>
                <w:lang w:eastAsia="zh-CN"/>
              </w:rPr>
              <w:t>化工泵</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4BEC87CB">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单级单吸离心泵\YL150-125-315带电机30KW 一级能效 卧式-(+)</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F47B5A2">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70438464</w:t>
            </w:r>
          </w:p>
        </w:tc>
        <w:tc>
          <w:tcPr>
            <w:tcW w:w="1245" w:type="dxa"/>
            <w:tcBorders>
              <w:top w:val="single" w:color="auto" w:sz="4" w:space="0"/>
              <w:left w:val="single" w:color="auto" w:sz="4" w:space="0"/>
              <w:bottom w:val="single" w:color="auto" w:sz="4" w:space="0"/>
              <w:right w:val="single" w:color="auto" w:sz="4" w:space="0"/>
            </w:tcBorders>
            <w:noWrap w:val="0"/>
            <w:vAlign w:val="center"/>
          </w:tcPr>
          <w:p w14:paraId="0C5BAB8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1套</w:t>
            </w:r>
          </w:p>
        </w:tc>
        <w:tc>
          <w:tcPr>
            <w:tcW w:w="1683" w:type="dxa"/>
            <w:tcBorders>
              <w:top w:val="single" w:color="auto" w:sz="4" w:space="0"/>
              <w:left w:val="single" w:color="auto" w:sz="4" w:space="0"/>
              <w:bottom w:val="single" w:color="auto" w:sz="4" w:space="0"/>
              <w:right w:val="single" w:color="auto" w:sz="4" w:space="0"/>
            </w:tcBorders>
            <w:noWrap w:val="0"/>
            <w:vAlign w:val="center"/>
          </w:tcPr>
          <w:p w14:paraId="71CCE9FB">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2080</w:t>
            </w:r>
          </w:p>
        </w:tc>
      </w:tr>
    </w:tbl>
    <w:p w14:paraId="6B68B198">
      <w:pPr>
        <w:ind w:firstLine="600" w:firstLineChars="200"/>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sz w:val="30"/>
          <w:szCs w:val="30"/>
          <w:highlight w:val="none"/>
          <w:lang w:val="en-US" w:eastAsia="zh-CN"/>
        </w:rPr>
        <w:t>包括水泵、电机、联轴器、配套法兰、底座（含地脚螺栓）及相关附件。</w:t>
      </w:r>
    </w:p>
    <w:p w14:paraId="2F432FD9">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w:t>
      </w:r>
      <w:r>
        <w:rPr>
          <w:rFonts w:hint="eastAsia" w:ascii="仿宋_GB2312" w:hAnsi="仿宋_GB2312" w:eastAsia="仿宋_GB2312" w:cs="仿宋_GB2312"/>
          <w:b/>
          <w:bCs/>
          <w:kern w:val="2"/>
          <w:sz w:val="30"/>
          <w:szCs w:val="30"/>
          <w:highlight w:val="none"/>
          <w:lang w:val="en-GB" w:eastAsia="zh-CN"/>
        </w:rPr>
        <w:t>设备参数、</w:t>
      </w:r>
      <w:r>
        <w:rPr>
          <w:rFonts w:hint="eastAsia" w:ascii="仿宋_GB2312" w:hAnsi="仿宋_GB2312" w:eastAsia="仿宋_GB2312" w:cs="仿宋_GB2312"/>
          <w:b/>
          <w:bCs/>
          <w:kern w:val="2"/>
          <w:sz w:val="30"/>
          <w:szCs w:val="30"/>
          <w:highlight w:val="none"/>
          <w:lang w:val="en-US" w:eastAsia="zh-CN"/>
        </w:rPr>
        <w:t>制造技术要求</w:t>
      </w:r>
    </w:p>
    <w:p w14:paraId="0647D9EC">
      <w:pPr>
        <w:pStyle w:val="5"/>
        <w:ind w:left="0" w:leftChars="0" w:firstLine="600" w:firstLineChars="200"/>
        <w:rPr>
          <w:rFonts w:hint="default"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1.</w:t>
      </w:r>
      <w:r>
        <w:rPr>
          <w:rFonts w:hint="eastAsia" w:ascii="仿宋_GB2312" w:hAnsi="仿宋_GB2312" w:eastAsia="仿宋_GB2312" w:cs="仿宋_GB2312"/>
          <w:b/>
          <w:bCs/>
          <w:color w:val="auto"/>
          <w:kern w:val="2"/>
          <w:sz w:val="30"/>
          <w:szCs w:val="30"/>
          <w:highlight w:val="none"/>
          <w:lang w:val="en-US" w:eastAsia="zh-CN"/>
        </w:rPr>
        <w:t>2080清水泵</w:t>
      </w:r>
    </w:p>
    <w:p w14:paraId="22E7958D">
      <w:pPr>
        <w:pStyle w:val="5"/>
        <w:ind w:left="0" w:leftChars="0" w:firstLine="600" w:firstLineChars="200"/>
        <w:rPr>
          <w:rFonts w:hint="eastAsia"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2.1安装位置</w:t>
      </w:r>
    </w:p>
    <w:p w14:paraId="20589E02">
      <w:pPr>
        <w:pStyle w:val="5"/>
        <w:ind w:left="0" w:leftChars="0" w:firstLine="600" w:firstLineChars="200"/>
        <w:rPr>
          <w:rFonts w:hint="eastAsia" w:ascii="仿宋_GB2312" w:hAnsi="仿宋_GB2312" w:eastAsia="仿宋_GB2312" w:cs="仿宋_GB2312"/>
          <w:b w:val="0"/>
          <w:bCs w:val="0"/>
          <w:color w:val="auto"/>
          <w:kern w:val="2"/>
          <w:sz w:val="30"/>
          <w:szCs w:val="30"/>
          <w:highlight w:val="none"/>
          <w:lang w:val="en-US" w:eastAsia="zh-CN"/>
        </w:rPr>
      </w:pPr>
      <w:r>
        <w:rPr>
          <w:rFonts w:hint="eastAsia" w:ascii="仿宋_GB2312" w:hAnsi="仿宋_GB2312" w:eastAsia="仿宋_GB2312" w:cs="仿宋_GB2312"/>
          <w:b w:val="0"/>
          <w:bCs w:val="0"/>
          <w:color w:val="auto"/>
          <w:kern w:val="2"/>
          <w:sz w:val="30"/>
          <w:szCs w:val="30"/>
          <w:highlight w:val="none"/>
          <w:lang w:val="en-US" w:eastAsia="zh-CN"/>
        </w:rPr>
        <w:t>动力厂水二作业区不锈钢废水处理班冷一废水站，1套（含变频电机）</w:t>
      </w:r>
    </w:p>
    <w:p w14:paraId="1F53C3F6">
      <w:pPr>
        <w:pStyle w:val="5"/>
        <w:ind w:left="0" w:leftChars="0" w:firstLine="600" w:firstLineChars="200"/>
        <w:rPr>
          <w:rFonts w:hint="eastAsia" w:ascii="仿宋_GB2312" w:hAnsi="仿宋_GB2312" w:eastAsia="仿宋_GB2312" w:cs="仿宋_GB2312"/>
          <w:b w:val="0"/>
          <w:bCs w:val="0"/>
          <w:kern w:val="2"/>
          <w:sz w:val="30"/>
          <w:szCs w:val="30"/>
          <w:highlight w:val="yellow"/>
          <w:lang w:val="en-US" w:eastAsia="zh-CN"/>
        </w:rPr>
      </w:pPr>
      <w:r>
        <w:rPr>
          <w:rFonts w:hint="eastAsia" w:ascii="仿宋_GB2312" w:hAnsi="仿宋_GB2312" w:eastAsia="仿宋_GB2312" w:cs="仿宋_GB2312"/>
          <w:b w:val="0"/>
          <w:bCs w:val="0"/>
          <w:kern w:val="2"/>
          <w:sz w:val="30"/>
          <w:szCs w:val="30"/>
          <w:highlight w:val="none"/>
          <w:lang w:val="en-US" w:eastAsia="zh-CN"/>
        </w:rPr>
        <w:t>2.2.工作介质或使用工况：冶金含油及乳化液废水</w:t>
      </w:r>
    </w:p>
    <w:tbl>
      <w:tblPr>
        <w:tblStyle w:val="6"/>
        <w:tblW w:w="0" w:type="auto"/>
        <w:jc w:val="center"/>
        <w:tblLayout w:type="fixed"/>
        <w:tblCellMar>
          <w:top w:w="0" w:type="dxa"/>
          <w:left w:w="108" w:type="dxa"/>
          <w:bottom w:w="0" w:type="dxa"/>
          <w:right w:w="108" w:type="dxa"/>
        </w:tblCellMar>
      </w:tblPr>
      <w:tblGrid>
        <w:gridCol w:w="1526"/>
        <w:gridCol w:w="1455"/>
        <w:gridCol w:w="1150"/>
        <w:gridCol w:w="1596"/>
        <w:gridCol w:w="1108"/>
      </w:tblGrid>
      <w:tr w14:paraId="5F8570D4">
        <w:tblPrEx>
          <w:tblCellMar>
            <w:top w:w="0" w:type="dxa"/>
            <w:left w:w="108" w:type="dxa"/>
            <w:bottom w:w="0" w:type="dxa"/>
            <w:right w:w="108" w:type="dxa"/>
          </w:tblCellMar>
        </w:tblPrEx>
        <w:trPr>
          <w:trHeight w:val="454" w:hRule="exact"/>
          <w:jc w:val="center"/>
        </w:trPr>
        <w:tc>
          <w:tcPr>
            <w:tcW w:w="152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175B70A">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参数</w:t>
            </w:r>
          </w:p>
        </w:tc>
        <w:tc>
          <w:tcPr>
            <w:tcW w:w="145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9B5586C">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eastAsia="zh-CN"/>
              </w:rPr>
              <w:t>含固率</w:t>
            </w:r>
          </w:p>
        </w:tc>
        <w:tc>
          <w:tcPr>
            <w:tcW w:w="115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AF25930">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PH</w:t>
            </w:r>
          </w:p>
        </w:tc>
        <w:tc>
          <w:tcPr>
            <w:tcW w:w="159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2268E2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油</w:t>
            </w:r>
          </w:p>
        </w:tc>
        <w:tc>
          <w:tcPr>
            <w:tcW w:w="110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17A2D6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水温</w:t>
            </w:r>
          </w:p>
        </w:tc>
      </w:tr>
      <w:tr w14:paraId="1F8A9EE6">
        <w:tblPrEx>
          <w:tblCellMar>
            <w:top w:w="0" w:type="dxa"/>
            <w:left w:w="108" w:type="dxa"/>
            <w:bottom w:w="0" w:type="dxa"/>
            <w:right w:w="108" w:type="dxa"/>
          </w:tblCellMar>
        </w:tblPrEx>
        <w:trPr>
          <w:trHeight w:val="454" w:hRule="exact"/>
          <w:jc w:val="center"/>
        </w:trPr>
        <w:tc>
          <w:tcPr>
            <w:tcW w:w="152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1CD309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数值</w:t>
            </w:r>
          </w:p>
        </w:tc>
        <w:tc>
          <w:tcPr>
            <w:tcW w:w="145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7427D8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lang w:val="en-US" w:eastAsia="zh-CN"/>
              </w:rPr>
              <w:t>5%—10%</w:t>
            </w:r>
          </w:p>
        </w:tc>
        <w:tc>
          <w:tcPr>
            <w:tcW w:w="115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4EDDA0D">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rPr>
            </w:pPr>
            <w:r>
              <w:rPr>
                <w:rFonts w:hint="eastAsia" w:ascii="仿宋_GB2312" w:hAnsi="仿宋_GB2312" w:eastAsia="仿宋_GB2312" w:cs="仿宋_GB2312"/>
                <w:b w:val="0"/>
                <w:bCs w:val="0"/>
                <w:sz w:val="24"/>
                <w:szCs w:val="24"/>
                <w:highlight w:val="none"/>
                <w:lang w:val="en-US" w:eastAsia="zh-CN"/>
              </w:rPr>
              <w:t>3-10</w:t>
            </w:r>
          </w:p>
        </w:tc>
        <w:tc>
          <w:tcPr>
            <w:tcW w:w="159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FDBB6C8">
            <w:pPr>
              <w:keepNext w:val="0"/>
              <w:keepLines w:val="0"/>
              <w:pageBreakBefore w:val="0"/>
              <w:widowControl w:val="0"/>
              <w:kinsoku/>
              <w:wordWrap/>
              <w:overflowPunct/>
              <w:topLinePunct w:val="0"/>
              <w:autoSpaceDE/>
              <w:autoSpaceDN/>
              <w:bidi w:val="0"/>
              <w:adjustRightInd/>
              <w:snapToGrid/>
              <w:ind w:left="0" w:leftChars="0" w:firstLine="240" w:firstLineChars="100"/>
              <w:jc w:val="center"/>
              <w:textAlignment w:val="auto"/>
              <w:rPr>
                <w:rFonts w:hint="default" w:ascii="仿宋_GB2312" w:hAnsi="仿宋_GB2312" w:eastAsia="仿宋_GB2312" w:cs="仿宋_GB2312"/>
                <w:b w:val="0"/>
                <w:bCs w:val="0"/>
                <w:sz w:val="24"/>
                <w:szCs w:val="24"/>
                <w:highlight w:val="none"/>
                <w:lang w:val="en-US" w:eastAsia="zh-CN"/>
              </w:rPr>
            </w:pPr>
          </w:p>
        </w:tc>
        <w:tc>
          <w:tcPr>
            <w:tcW w:w="110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EEC0C1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rPr>
            </w:pPr>
            <w:r>
              <w:rPr>
                <w:rFonts w:hint="eastAsia" w:ascii="仿宋_GB2312" w:hAnsi="仿宋_GB2312" w:eastAsia="仿宋_GB2312" w:cs="仿宋_GB2312"/>
                <w:b w:val="0"/>
                <w:bCs w:val="0"/>
                <w:sz w:val="24"/>
                <w:szCs w:val="24"/>
                <w:highlight w:val="none"/>
                <w:lang w:val="en-US" w:eastAsia="zh-CN"/>
              </w:rPr>
              <w:t>20-40</w:t>
            </w:r>
          </w:p>
        </w:tc>
      </w:tr>
    </w:tbl>
    <w:p w14:paraId="2DA5A4D9">
      <w:pPr>
        <w:pStyle w:val="5"/>
        <w:ind w:left="0" w:leftChars="0" w:firstLine="600" w:firstLineChars="20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2.3设备参数</w:t>
      </w:r>
    </w:p>
    <w:tbl>
      <w:tblPr>
        <w:tblStyle w:val="6"/>
        <w:tblW w:w="0" w:type="auto"/>
        <w:jc w:val="center"/>
        <w:tblLayout w:type="fixed"/>
        <w:tblCellMar>
          <w:top w:w="0" w:type="dxa"/>
          <w:left w:w="0" w:type="dxa"/>
          <w:bottom w:w="0" w:type="dxa"/>
          <w:right w:w="0" w:type="dxa"/>
        </w:tblCellMar>
      </w:tblPr>
      <w:tblGrid>
        <w:gridCol w:w="3223"/>
        <w:gridCol w:w="1862"/>
        <w:gridCol w:w="3413"/>
      </w:tblGrid>
      <w:tr w14:paraId="11BE8015">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6BCE2C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项    目</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5A6A32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单 位</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B7A0C9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参数</w:t>
            </w:r>
          </w:p>
        </w:tc>
      </w:tr>
      <w:tr w14:paraId="11842180">
        <w:tblPrEx>
          <w:tblCellMar>
            <w:top w:w="0" w:type="dxa"/>
            <w:left w:w="0" w:type="dxa"/>
            <w:bottom w:w="0" w:type="dxa"/>
            <w:right w:w="0" w:type="dxa"/>
          </w:tblCellMar>
        </w:tblPrEx>
        <w:trPr>
          <w:trHeight w:val="450"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F932FC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水泵型号</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084902F">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37DFD7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YL150-125-315</w:t>
            </w:r>
          </w:p>
        </w:tc>
      </w:tr>
      <w:tr w14:paraId="175A2563">
        <w:tblPrEx>
          <w:tblCellMar>
            <w:top w:w="0" w:type="dxa"/>
            <w:left w:w="0" w:type="dxa"/>
            <w:bottom w:w="0" w:type="dxa"/>
            <w:right w:w="0" w:type="dxa"/>
          </w:tblCellMar>
        </w:tblPrEx>
        <w:trPr>
          <w:trHeight w:val="4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6D05E42">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水泵型式</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8555B4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B05FFEE">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rPr>
            </w:pPr>
            <w:r>
              <w:rPr>
                <w:rFonts w:hint="eastAsia" w:ascii="仿宋_GB2312" w:hAnsi="仿宋_GB2312" w:eastAsia="仿宋_GB2312" w:cs="仿宋_GB2312"/>
                <w:b w:val="0"/>
                <w:bCs w:val="0"/>
                <w:sz w:val="24"/>
                <w:szCs w:val="24"/>
                <w:highlight w:val="none"/>
                <w:lang w:val="en-US" w:eastAsia="zh-CN"/>
              </w:rPr>
              <w:t>单级单吸卧式离心泵</w:t>
            </w:r>
          </w:p>
        </w:tc>
      </w:tr>
      <w:tr w14:paraId="2C939427">
        <w:tblPrEx>
          <w:tblCellMar>
            <w:top w:w="0" w:type="dxa"/>
            <w:left w:w="0" w:type="dxa"/>
            <w:bottom w:w="0" w:type="dxa"/>
            <w:right w:w="0" w:type="dxa"/>
          </w:tblCellMar>
        </w:tblPrEx>
        <w:trPr>
          <w:trHeight w:val="49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005F31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数量</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5699FC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套</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427991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r>
      <w:tr w14:paraId="02B248BF">
        <w:tblPrEx>
          <w:tblCellMar>
            <w:top w:w="0" w:type="dxa"/>
            <w:left w:w="0" w:type="dxa"/>
            <w:bottom w:w="0" w:type="dxa"/>
            <w:right w:w="0" w:type="dxa"/>
          </w:tblCellMar>
        </w:tblPrEx>
        <w:trPr>
          <w:trHeight w:val="4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2A7F90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流量</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CF2432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m</w:t>
            </w:r>
            <w:r>
              <w:rPr>
                <w:rFonts w:hint="eastAsia" w:ascii="仿宋_GB2312" w:hAnsi="仿宋_GB2312" w:eastAsia="仿宋_GB2312" w:cs="仿宋_GB2312"/>
                <w:b w:val="0"/>
                <w:bCs w:val="0"/>
                <w:sz w:val="24"/>
                <w:szCs w:val="24"/>
                <w:highlight w:val="none"/>
                <w:vertAlign w:val="superscript"/>
              </w:rPr>
              <w:t>3</w:t>
            </w:r>
            <w:r>
              <w:rPr>
                <w:rFonts w:hint="eastAsia" w:ascii="仿宋_GB2312" w:hAnsi="仿宋_GB2312" w:eastAsia="仿宋_GB2312" w:cs="仿宋_GB2312"/>
                <w:b w:val="0"/>
                <w:bCs w:val="0"/>
                <w:sz w:val="24"/>
                <w:szCs w:val="24"/>
                <w:highlight w:val="none"/>
              </w:rPr>
              <w:t>/h</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9401254">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200</w:t>
            </w:r>
          </w:p>
        </w:tc>
      </w:tr>
      <w:tr w14:paraId="41F9D253">
        <w:tblPrEx>
          <w:tblCellMar>
            <w:top w:w="0" w:type="dxa"/>
            <w:left w:w="0" w:type="dxa"/>
            <w:bottom w:w="0" w:type="dxa"/>
            <w:right w:w="0" w:type="dxa"/>
          </w:tblCellMar>
        </w:tblPrEx>
        <w:trPr>
          <w:trHeight w:val="472"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C1E273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扬程</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B7732D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m</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A770DC5">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32</w:t>
            </w:r>
          </w:p>
        </w:tc>
      </w:tr>
      <w:tr w14:paraId="1A4B3141">
        <w:tblPrEx>
          <w:tblCellMar>
            <w:top w:w="0" w:type="dxa"/>
            <w:left w:w="0" w:type="dxa"/>
            <w:bottom w:w="0" w:type="dxa"/>
            <w:right w:w="0" w:type="dxa"/>
          </w:tblCellMar>
        </w:tblPrEx>
        <w:trPr>
          <w:trHeight w:val="480"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A1D475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配套电机功率</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3FE9A8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kW</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EE4B60C">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30</w:t>
            </w:r>
          </w:p>
        </w:tc>
      </w:tr>
      <w:tr w14:paraId="1FDA1F4D">
        <w:tblPrEx>
          <w:tblCellMar>
            <w:top w:w="0" w:type="dxa"/>
            <w:left w:w="0" w:type="dxa"/>
            <w:bottom w:w="0" w:type="dxa"/>
            <w:right w:w="0" w:type="dxa"/>
          </w:tblCellMar>
        </w:tblPrEx>
        <w:trPr>
          <w:trHeight w:val="524"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7E42DD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能效</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3ACB28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sz w:val="30"/>
                <w:szCs w:val="30"/>
                <w:highlight w:val="none"/>
                <w:lang w:val="en-US" w:eastAsia="zh-CN"/>
              </w:rPr>
              <w:t>/</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FD5BCBA">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1级能效</w:t>
            </w:r>
          </w:p>
        </w:tc>
      </w:tr>
      <w:tr w14:paraId="09ACD0AF">
        <w:tblPrEx>
          <w:tblCellMar>
            <w:top w:w="0" w:type="dxa"/>
            <w:left w:w="0" w:type="dxa"/>
            <w:bottom w:w="0" w:type="dxa"/>
            <w:right w:w="0" w:type="dxa"/>
          </w:tblCellMar>
        </w:tblPrEx>
        <w:trPr>
          <w:trHeight w:val="56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0D1648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电压</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D32FAE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V</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6D5EC1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380</w:t>
            </w:r>
          </w:p>
        </w:tc>
      </w:tr>
      <w:tr w14:paraId="56487CA1">
        <w:tblPrEx>
          <w:tblCellMar>
            <w:top w:w="0" w:type="dxa"/>
            <w:left w:w="0" w:type="dxa"/>
            <w:bottom w:w="0" w:type="dxa"/>
            <w:right w:w="0" w:type="dxa"/>
          </w:tblCellMar>
        </w:tblPrEx>
        <w:trPr>
          <w:trHeight w:val="495"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D1FD00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转速</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94729F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r/min</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83B9E1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1450</w:t>
            </w:r>
          </w:p>
        </w:tc>
      </w:tr>
      <w:tr w14:paraId="7D7A092C">
        <w:tblPrEx>
          <w:tblCellMar>
            <w:top w:w="0" w:type="dxa"/>
            <w:left w:w="0" w:type="dxa"/>
            <w:bottom w:w="0" w:type="dxa"/>
            <w:right w:w="0" w:type="dxa"/>
          </w:tblCellMar>
        </w:tblPrEx>
        <w:trPr>
          <w:trHeight w:val="522" w:hRule="atLeast"/>
          <w:jc w:val="center"/>
        </w:trPr>
        <w:tc>
          <w:tcPr>
            <w:tcW w:w="322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8B1A96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green"/>
                <w:lang w:val="en-US" w:eastAsia="zh-CN"/>
              </w:rPr>
            </w:pPr>
            <w:r>
              <w:rPr>
                <w:rFonts w:hint="eastAsia" w:ascii="仿宋_GB2312" w:hAnsi="仿宋_GB2312" w:eastAsia="仿宋_GB2312" w:cs="仿宋_GB2312"/>
                <w:b w:val="0"/>
                <w:bCs w:val="0"/>
                <w:sz w:val="24"/>
                <w:szCs w:val="24"/>
                <w:highlight w:val="none"/>
                <w:lang w:val="en-US" w:eastAsia="zh-CN"/>
              </w:rPr>
              <w:t>机械密封</w:t>
            </w:r>
          </w:p>
        </w:tc>
        <w:tc>
          <w:tcPr>
            <w:tcW w:w="1862"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4C7A609">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green"/>
              </w:rPr>
            </w:pPr>
            <w:r>
              <w:rPr>
                <w:rFonts w:hint="eastAsia" w:ascii="仿宋_GB2312" w:hAnsi="仿宋_GB2312" w:eastAsia="仿宋_GB2312" w:cs="仿宋_GB2312"/>
                <w:b w:val="0"/>
                <w:bCs w:val="0"/>
                <w:sz w:val="24"/>
                <w:szCs w:val="24"/>
                <w:highlight w:val="none"/>
                <w:lang w:eastAsia="zh-CN"/>
              </w:rPr>
              <w:t>套</w:t>
            </w:r>
          </w:p>
        </w:tc>
        <w:tc>
          <w:tcPr>
            <w:tcW w:w="341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42DAAF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green"/>
                <w:lang w:val="en-US" w:eastAsia="zh-CN"/>
              </w:rPr>
            </w:pPr>
            <w:r>
              <w:rPr>
                <w:rFonts w:hint="eastAsia" w:ascii="仿宋_GB2312" w:hAnsi="仿宋_GB2312" w:eastAsia="仿宋_GB2312" w:cs="仿宋_GB2312"/>
                <w:b w:val="0"/>
                <w:bCs w:val="0"/>
                <w:sz w:val="24"/>
                <w:szCs w:val="24"/>
                <w:highlight w:val="none"/>
                <w:lang w:val="en-US" w:eastAsia="zh-CN"/>
              </w:rPr>
              <w:t>集装式（P54）</w:t>
            </w:r>
          </w:p>
        </w:tc>
      </w:tr>
    </w:tbl>
    <w:p w14:paraId="2CA2FB21">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主要零部件材料表：</w:t>
      </w:r>
    </w:p>
    <w:tbl>
      <w:tblPr>
        <w:tblStyle w:val="6"/>
        <w:tblW w:w="0" w:type="auto"/>
        <w:jc w:val="center"/>
        <w:tblLayout w:type="fixed"/>
        <w:tblCellMar>
          <w:top w:w="0" w:type="dxa"/>
          <w:left w:w="108" w:type="dxa"/>
          <w:bottom w:w="0" w:type="dxa"/>
          <w:right w:w="108" w:type="dxa"/>
        </w:tblCellMar>
      </w:tblPr>
      <w:tblGrid>
        <w:gridCol w:w="2776"/>
        <w:gridCol w:w="3053"/>
        <w:gridCol w:w="2475"/>
      </w:tblGrid>
      <w:tr w14:paraId="17043C36">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37031C9">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零件名称</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F7107">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材料名称</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2656ED">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标准代号</w:t>
            </w:r>
          </w:p>
        </w:tc>
      </w:tr>
      <w:tr w14:paraId="5FB7390D">
        <w:tblPrEx>
          <w:tblCellMar>
            <w:top w:w="0" w:type="dxa"/>
            <w:left w:w="108" w:type="dxa"/>
            <w:bottom w:w="0" w:type="dxa"/>
            <w:right w:w="108" w:type="dxa"/>
          </w:tblCellMar>
        </w:tblPrEx>
        <w:trPr>
          <w:trHeight w:val="409"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50A3C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泵体/泵盖</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99DA73">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双相不锈钢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E644DD">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316L</w:t>
            </w:r>
          </w:p>
        </w:tc>
      </w:tr>
      <w:tr w14:paraId="31295BB3">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A85BB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叶轮</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B67F1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双相不锈钢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456568">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2205</w:t>
            </w:r>
          </w:p>
        </w:tc>
      </w:tr>
      <w:tr w14:paraId="7C9923EA">
        <w:tblPrEx>
          <w:tblCellMar>
            <w:top w:w="0" w:type="dxa"/>
            <w:left w:w="108" w:type="dxa"/>
            <w:bottom w:w="0" w:type="dxa"/>
            <w:right w:w="108" w:type="dxa"/>
          </w:tblCellMar>
        </w:tblPrEx>
        <w:trPr>
          <w:trHeight w:val="469"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BA7F0D">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泵轴</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44D1A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C4B163">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2205</w:t>
            </w:r>
          </w:p>
        </w:tc>
      </w:tr>
      <w:tr w14:paraId="2F0329CA">
        <w:tblPrEx>
          <w:tblCellMar>
            <w:top w:w="0" w:type="dxa"/>
            <w:left w:w="108" w:type="dxa"/>
            <w:bottom w:w="0" w:type="dxa"/>
            <w:right w:w="108" w:type="dxa"/>
          </w:tblCellMar>
        </w:tblPrEx>
        <w:trPr>
          <w:trHeight w:val="51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BA8B2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轴套</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6581D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双相不锈钢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BF19E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316L</w:t>
            </w:r>
          </w:p>
        </w:tc>
      </w:tr>
      <w:tr w14:paraId="5E169A4B">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96A3FE">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rPr>
              <w:t>螺栓等连接件</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05CB8D">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不锈钢</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FEECC1">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304</w:t>
            </w:r>
          </w:p>
        </w:tc>
      </w:tr>
      <w:tr w14:paraId="489BE3C8">
        <w:tblPrEx>
          <w:tblCellMar>
            <w:top w:w="0" w:type="dxa"/>
            <w:left w:w="108" w:type="dxa"/>
            <w:bottom w:w="0" w:type="dxa"/>
            <w:right w:w="108" w:type="dxa"/>
          </w:tblCellMar>
        </w:tblPrEx>
        <w:trPr>
          <w:trHeight w:val="454" w:hRule="exact"/>
          <w:jc w:val="center"/>
        </w:trPr>
        <w:tc>
          <w:tcPr>
            <w:tcW w:w="27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968EEF">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rPr>
              <w:t>水泵电机</w:t>
            </w:r>
            <w:r>
              <w:rPr>
                <w:rFonts w:hint="eastAsia" w:ascii="仿宋_GB2312" w:hAnsi="仿宋_GB2312" w:eastAsia="仿宋_GB2312" w:cs="仿宋_GB2312"/>
                <w:b w:val="0"/>
                <w:bCs w:val="0"/>
                <w:sz w:val="24"/>
                <w:szCs w:val="24"/>
                <w:highlight w:val="none"/>
                <w:lang w:eastAsia="zh-CN"/>
              </w:rPr>
              <w:t>公共</w:t>
            </w:r>
            <w:r>
              <w:rPr>
                <w:rFonts w:hint="eastAsia" w:ascii="仿宋_GB2312" w:hAnsi="仿宋_GB2312" w:eastAsia="仿宋_GB2312" w:cs="仿宋_GB2312"/>
                <w:b w:val="0"/>
                <w:bCs w:val="0"/>
                <w:sz w:val="24"/>
                <w:szCs w:val="24"/>
                <w:highlight w:val="none"/>
              </w:rPr>
              <w:t>底座</w:t>
            </w:r>
          </w:p>
        </w:tc>
        <w:tc>
          <w:tcPr>
            <w:tcW w:w="305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320802">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普材</w:t>
            </w:r>
            <w:r>
              <w:rPr>
                <w:rFonts w:hint="eastAsia" w:ascii="仿宋_GB2312" w:hAnsi="仿宋_GB2312" w:eastAsia="仿宋_GB2312" w:cs="仿宋_GB2312"/>
                <w:b w:val="0"/>
                <w:bCs w:val="0"/>
                <w:sz w:val="24"/>
                <w:szCs w:val="24"/>
                <w:highlight w:val="none"/>
                <w:lang w:val="en-US" w:eastAsia="zh-CN"/>
              </w:rPr>
              <w:t>+防腐涂层漆</w:t>
            </w:r>
          </w:p>
        </w:tc>
        <w:tc>
          <w:tcPr>
            <w:tcW w:w="247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789B56">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rPr>
              <w:t>Q235B</w:t>
            </w:r>
            <w:r>
              <w:rPr>
                <w:rFonts w:hint="eastAsia" w:ascii="仿宋_GB2312" w:hAnsi="仿宋_GB2312" w:eastAsia="仿宋_GB2312" w:cs="仿宋_GB2312"/>
                <w:b w:val="0"/>
                <w:bCs w:val="0"/>
                <w:sz w:val="24"/>
                <w:szCs w:val="24"/>
                <w:highlight w:val="none"/>
                <w:lang w:val="en-US" w:eastAsia="zh-CN"/>
              </w:rPr>
              <w:t>+防腐涂层漆</w:t>
            </w:r>
          </w:p>
        </w:tc>
      </w:tr>
    </w:tbl>
    <w:p w14:paraId="27AE456D">
      <w:pPr>
        <w:pStyle w:val="5"/>
        <w:ind w:left="0" w:leftChars="0" w:firstLine="0" w:firstLineChars="0"/>
        <w:rPr>
          <w:rFonts w:hint="eastAsia" w:ascii="仿宋_GB2312" w:hAnsi="仿宋_GB2312" w:eastAsia="仿宋_GB2312" w:cs="仿宋_GB2312"/>
          <w:b w:val="0"/>
          <w:bCs w:val="0"/>
          <w:kern w:val="2"/>
          <w:sz w:val="30"/>
          <w:szCs w:val="30"/>
          <w:highlight w:val="none"/>
          <w:lang w:val="en-US" w:eastAsia="zh-CN"/>
        </w:rPr>
      </w:pPr>
      <w:r>
        <w:rPr>
          <w:rFonts w:hint="eastAsia" w:ascii="仿宋_GB2312" w:hAnsi="仿宋_GB2312" w:eastAsia="仿宋_GB2312" w:cs="仿宋_GB2312"/>
          <w:b w:val="0"/>
          <w:bCs w:val="0"/>
          <w:kern w:val="2"/>
          <w:sz w:val="30"/>
          <w:szCs w:val="30"/>
          <w:highlight w:val="none"/>
          <w:lang w:val="en-US" w:eastAsia="zh-CN"/>
        </w:rPr>
        <w:t>2.技术要求</w:t>
      </w:r>
    </w:p>
    <w:p w14:paraId="4C62F10A">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2.1水泵厂负责与电机的技术接口问题及泵组的全部性能指标和整体质量，水泵、电机、联轴器、安装底座的供货，并应在制造厂进行整体装配试运后方可出厂。</w:t>
      </w:r>
    </w:p>
    <w:p w14:paraId="08BEC9B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2.2乙方提供技术先进，结构合理、安全、成熟可靠并符合国家有关标准的产品。同时必须采取高效节能泵，乙方提供的泵组必须是通过国家认证且具有认证证书的产品。</w:t>
      </w:r>
    </w:p>
    <w:p w14:paraId="4D397F60">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2.3考虑到泵组长期运行，乙方提供的泵叶轮为整体压铸成型（不允许采用焊接成型叶轮），泵组的寿命不低于10年，泵组连续运行。</w:t>
      </w:r>
    </w:p>
    <w:p w14:paraId="484E2ED1">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2.4泵组的振动应符合国家标准（小于等于0.05mm）、轴承运行温度小于45℃。</w:t>
      </w:r>
    </w:p>
    <w:p w14:paraId="572173C0">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2.5受限于设备安装厂房天车最大起重量为5吨，乙方提供单件或组合件的最大起吊重量应小于5吨。</w:t>
      </w:r>
    </w:p>
    <w:p w14:paraId="624F0BC7">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2.6考虑到泵组维护困难，乙方除提供整体组装的主设备外，还需额外提供1套机械密封（易损件）。</w:t>
      </w:r>
    </w:p>
    <w:p w14:paraId="231AEFE5">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2.7乙方应提供设备产品设计、制造、质量检验、交货及验收应遵照的规范和标准。</w:t>
      </w:r>
    </w:p>
    <w:p w14:paraId="12F911DE">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2.8泵组及传动装置，由乙方整体发运酒钢集团储运物资总库，并随供货设备提供该设备的安装说明、装箱单、试验报告、产品说明书、产品合格证等相关资料供甲方验收。</w:t>
      </w:r>
    </w:p>
    <w:p w14:paraId="66B1257D">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2.9乙方提供的设计特性曲线在水泵冬夏季工况范围内的流量、扬程、效率不允许有负偏差，扬程的正偏差不超过5%。水泵在最低允许运行水位运行时，应保证良好的抗气蚀、抗腐蚀性能。</w:t>
      </w:r>
    </w:p>
    <w:p w14:paraId="47A7134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2.10水泵的流量扬程曲线必须平稳地从系统所需的最大流量工况变化到关闭点。</w:t>
      </w:r>
    </w:p>
    <w:p w14:paraId="2FAB788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2.11凡需乙方配管连接的所有接口均采用法兰连接，其法兰必须符合国家标准。主要接口应提供允许承受的力和力矩，如因布置条件限制满足不了要求时，由乙方与甲方协商解决。</w:t>
      </w:r>
    </w:p>
    <w:p w14:paraId="22D5BB5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2.12供方提供的水泵功能完整，技术先进成熟，所供设备均按最新标准设计和制造，在系统正常合理工况下能满足安全和持续运行的要求。</w:t>
      </w:r>
    </w:p>
    <w:p w14:paraId="6E88FDD2">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2.13水泵零部件均采用先进、可靠的加工制造技术，并具有良好的表面几何形状及合适的公差配合。</w:t>
      </w:r>
    </w:p>
    <w:p w14:paraId="2DADCA8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2.14泵的转子及其主要旋转部件都必须进行静、动平衡试验，出具试验报告，偏差重量＜5g。</w:t>
      </w:r>
    </w:p>
    <w:p w14:paraId="21309FB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2.15联轴器、轴等转动部位必须安装易于拆卸的防护罩，防护罩与电机及水泵轴承体之间的距离不大于10mm，防护罩与联轴器水平位置增加观察窗，观察窗应能够正常打开但不能拆卸。防护罩底色为红色、旋转方向为黄色，水泵、电机统一着色为蓝色。</w:t>
      </w:r>
    </w:p>
    <w:p w14:paraId="0ADC587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推荐水泵厂家：参照或相当于原备件（设备）生产厂家江苏一泉泵业有限公司，采购品牌不低于同行业等级。</w:t>
      </w:r>
    </w:p>
    <w:p w14:paraId="04C5A726">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2.16三相异步电动机技术参数要求（防爆电机）</w:t>
      </w:r>
    </w:p>
    <w:p w14:paraId="0F2C9E30">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电压等级：以参数表为准     频率：50Hz</w:t>
      </w:r>
    </w:p>
    <w:p w14:paraId="4044EEBB">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绝缘等级： H</w:t>
      </w:r>
    </w:p>
    <w:p w14:paraId="3F51B1F8">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功率因数：  0.83-0.89</w:t>
      </w:r>
    </w:p>
    <w:p w14:paraId="6DEAF77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接法：  高压：Y  低压：Δ</w:t>
      </w:r>
    </w:p>
    <w:p w14:paraId="78E55F6F">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防护等级：  IP55</w:t>
      </w:r>
    </w:p>
    <w:p w14:paraId="469AE103">
      <w:pPr>
        <w:pStyle w:val="5"/>
        <w:ind w:left="0" w:leftChars="0" w:firstLine="600" w:firstLineChars="200"/>
        <w:rPr>
          <w:rFonts w:hint="default"/>
          <w:highlight w:val="none"/>
          <w:lang w:val="en-US" w:eastAsia="zh-CN"/>
        </w:rPr>
      </w:pPr>
      <w:r>
        <w:rPr>
          <w:rFonts w:hint="eastAsia" w:ascii="仿宋_GB2312" w:hAnsi="仿宋_GB2312" w:eastAsia="仿宋_GB2312" w:cs="仿宋_GB2312"/>
          <w:sz w:val="30"/>
          <w:szCs w:val="30"/>
          <w:highlight w:val="none"/>
          <w:lang w:val="en-US" w:eastAsia="zh-CN"/>
        </w:rPr>
        <w:t>接线盒等级：  IP55</w:t>
      </w:r>
    </w:p>
    <w:p w14:paraId="11A222F8">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安装方式：  随主泵安装（卧式）</w:t>
      </w:r>
    </w:p>
    <w:p w14:paraId="578F31FB">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风扇材质：  铸铝</w:t>
      </w:r>
    </w:p>
    <w:p w14:paraId="5668FE53">
      <w:pPr>
        <w:keepNext w:val="0"/>
        <w:keepLines w:val="0"/>
        <w:pageBreakBefore w:val="0"/>
        <w:widowControl/>
        <w:kinsoku w:val="0"/>
        <w:wordWrap/>
        <w:overflowPunct/>
        <w:topLinePunct w:val="0"/>
        <w:autoSpaceDE w:val="0"/>
        <w:autoSpaceDN w:val="0"/>
        <w:bidi w:val="0"/>
        <w:adjustRightInd w:val="0"/>
        <w:snapToGrid w:val="0"/>
        <w:spacing w:before="20" w:line="360" w:lineRule="auto"/>
        <w:ind w:left="36" w:right="533" w:firstLine="591"/>
        <w:textAlignment w:val="baseline"/>
        <w:rPr>
          <w:rFonts w:hint="eastAsia" w:ascii="仿宋_GB2312" w:hAnsi="仿宋_GB2312" w:eastAsia="仿宋_GB2312" w:cs="仿宋_GB2312"/>
          <w:spacing w:val="-2"/>
          <w:sz w:val="32"/>
          <w:szCs w:val="32"/>
        </w:rPr>
      </w:pPr>
      <w:r>
        <w:rPr>
          <w:rFonts w:hint="eastAsia" w:ascii="仿宋_GB2312" w:hAnsi="仿宋_GB2312" w:eastAsia="仿宋_GB2312" w:cs="仿宋_GB2312"/>
          <w:sz w:val="30"/>
          <w:szCs w:val="30"/>
          <w:highlight w:val="none"/>
          <w:lang w:val="en-US" w:eastAsia="zh-CN"/>
        </w:rPr>
        <w:t xml:space="preserve">电机轴承： </w:t>
      </w:r>
      <w:r>
        <w:rPr>
          <w:rFonts w:hint="eastAsia" w:ascii="仿宋_GB2312" w:hAnsi="仿宋_GB2312" w:eastAsia="仿宋_GB2312" w:cs="仿宋_GB2312"/>
          <w:spacing w:val="-2"/>
          <w:sz w:val="32"/>
          <w:szCs w:val="32"/>
          <w:lang w:eastAsia="zh-CN"/>
        </w:rPr>
        <w:t>参照或相当于</w:t>
      </w:r>
      <w:r>
        <w:rPr>
          <w:rFonts w:hint="eastAsia" w:ascii="仿宋_GB2312" w:hAnsi="仿宋_GB2312" w:eastAsia="仿宋_GB2312" w:cs="仿宋_GB2312"/>
          <w:spacing w:val="-2"/>
          <w:sz w:val="32"/>
          <w:szCs w:val="32"/>
        </w:rPr>
        <w:t xml:space="preserve"> SKF 品牌轴承</w:t>
      </w:r>
    </w:p>
    <w:p w14:paraId="0BF74B0F">
      <w:pPr>
        <w:keepNext w:val="0"/>
        <w:keepLines w:val="0"/>
        <w:pageBreakBefore w:val="0"/>
        <w:widowControl/>
        <w:kinsoku w:val="0"/>
        <w:wordWrap/>
        <w:overflowPunct/>
        <w:topLinePunct w:val="0"/>
        <w:autoSpaceDE w:val="0"/>
        <w:autoSpaceDN w:val="0"/>
        <w:bidi w:val="0"/>
        <w:adjustRightInd w:val="0"/>
        <w:snapToGrid w:val="0"/>
        <w:spacing w:before="20" w:line="360" w:lineRule="auto"/>
        <w:ind w:left="36" w:right="533" w:firstLine="591"/>
        <w:textAlignment w:val="baseline"/>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能效等级：  1级能效</w:t>
      </w:r>
    </w:p>
    <w:p w14:paraId="1B395F9C">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润滑油型号：通用锂基脂</w:t>
      </w:r>
    </w:p>
    <w:p w14:paraId="12A2A3E9">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电机接线盒位置、方向、大小及现场实际电缆规格型号须厂家技术人员现场测绘确定，须留有备用接线方式。</w:t>
      </w:r>
    </w:p>
    <w:p w14:paraId="71E0E40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2.17对传动电机及电气的要求</w:t>
      </w:r>
    </w:p>
    <w:p w14:paraId="092B6BD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a.电动机应满足IEC所规定的要求。电机的绝缘为H级，具有良好防腐蚀的能力。</w:t>
      </w:r>
    </w:p>
    <w:p w14:paraId="18282AE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b.电动机的设计与构造，必须与它所驱动设备的运行条件和维护要求一致。</w:t>
      </w:r>
    </w:p>
    <w:p w14:paraId="391B5CEC">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c.投标时本公司提供电动机二次保护接线原理图及设备明细表、型号、生产厂家。</w:t>
      </w:r>
    </w:p>
    <w:p w14:paraId="6A61C2B0">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d.电动机能在80%额定电压下平稳启动，且能在70%额定电压下自动启动。电动机满载运行时，能承受电源快速切换过程中失电而不损坏。</w:t>
      </w:r>
    </w:p>
    <w:p w14:paraId="5B0FFAE2">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e.电动机上接线桩头明确标明了A、B、C三相的接入点和接地标识。</w:t>
      </w:r>
    </w:p>
    <w:p w14:paraId="4923D9A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f.电动机有固定接地导线的合适装置。</w:t>
      </w:r>
    </w:p>
    <w:p w14:paraId="5668346B">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2.18订货要求：</w:t>
      </w:r>
    </w:p>
    <w:p w14:paraId="30D1EA3F">
      <w:pPr>
        <w:numPr>
          <w:ilvl w:val="0"/>
          <w:numId w:val="0"/>
        </w:numPr>
        <w:ind w:firstLine="600" w:firstLineChars="200"/>
        <w:rPr>
          <w:rFonts w:hint="eastAsia"/>
          <w:highlight w:val="none"/>
          <w:lang w:val="en-US" w:eastAsia="zh-CN"/>
        </w:rPr>
      </w:pPr>
      <w:r>
        <w:rPr>
          <w:rFonts w:hint="eastAsia" w:ascii="仿宋_GB2312" w:hAnsi="仿宋_GB2312" w:eastAsia="仿宋_GB2312" w:cs="仿宋_GB2312"/>
          <w:sz w:val="30"/>
          <w:szCs w:val="30"/>
          <w:highlight w:val="none"/>
          <w:lang w:val="en-US" w:eastAsia="zh-CN"/>
        </w:rPr>
        <w:t>a.电机轴承端盖带有加油孔。</w:t>
      </w:r>
    </w:p>
    <w:p w14:paraId="4102A63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b.电机浸漆采用真空浸漆。</w:t>
      </w:r>
    </w:p>
    <w:p w14:paraId="6BABB921">
      <w:pPr>
        <w:pStyle w:val="5"/>
        <w:ind w:left="0" w:leftChars="0"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C.水泵轴承端盖带有加油孔。</w:t>
      </w:r>
    </w:p>
    <w:p w14:paraId="257CCDBB">
      <w:pPr>
        <w:pStyle w:val="5"/>
        <w:ind w:left="0" w:leftChars="0"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d.水泵与电机公共基础做涂层防腐漆。</w:t>
      </w:r>
    </w:p>
    <w:p w14:paraId="18478167">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US" w:eastAsia="zh-CN"/>
        </w:rPr>
        <w:t>四、设备制造、验收标准</w:t>
      </w:r>
    </w:p>
    <w:p w14:paraId="0E6A7888">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1.GB/T16907《离心泵技术条件（Ⅰ）类》。</w:t>
      </w:r>
    </w:p>
    <w:p w14:paraId="2C4F4EF6">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2.GB/T29531-2013《泵的振动测量与评价方法》。</w:t>
      </w:r>
    </w:p>
    <w:p w14:paraId="55224F2C">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3.GB/T3216-2016《回转动力泵 水力性能验收试验 1级、2级和3级》。</w:t>
      </w:r>
    </w:p>
    <w:p w14:paraId="01BCB63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4.GB/T13007-2011《离心泵效率》。</w:t>
      </w:r>
    </w:p>
    <w:p w14:paraId="0CB79C76">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5.GB/T13006-2013《离心泵，混流泵，轴流泵汽蚀余量》。</w:t>
      </w:r>
    </w:p>
    <w:p w14:paraId="08EB275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6.GB/T3089.1-2010《紧固件机械性能 螺栓、螺钉和螺柱》。</w:t>
      </w:r>
    </w:p>
    <w:p w14:paraId="51FAA66E">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7.GB/T3089.2-2025《紧固件机械性能 螺母》。</w:t>
      </w:r>
    </w:p>
    <w:p w14:paraId="0E186DF0">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8.GB/T699-2015《优质碳素结构钢》。</w:t>
      </w:r>
    </w:p>
    <w:p w14:paraId="38D50B23">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9.GB/T9439-2010《</w:t>
      </w:r>
      <w:bookmarkStart w:id="0" w:name="OLE_LINK1"/>
      <w:r>
        <w:rPr>
          <w:rFonts w:hint="eastAsia" w:ascii="仿宋_GB2312" w:hAnsi="仿宋_GB2312" w:eastAsia="仿宋_GB2312" w:cs="仿宋_GB2312"/>
          <w:sz w:val="30"/>
          <w:szCs w:val="30"/>
          <w:highlight w:val="none"/>
          <w:lang w:val="en-US" w:eastAsia="zh-CN"/>
        </w:rPr>
        <w:t>灰铁铸件</w:t>
      </w:r>
      <w:bookmarkEnd w:id="0"/>
      <w:r>
        <w:rPr>
          <w:rFonts w:hint="eastAsia" w:ascii="仿宋_GB2312" w:hAnsi="仿宋_GB2312" w:eastAsia="仿宋_GB2312" w:cs="仿宋_GB2312"/>
          <w:sz w:val="30"/>
          <w:szCs w:val="30"/>
          <w:highlight w:val="none"/>
          <w:lang w:val="en-US" w:eastAsia="zh-CN"/>
        </w:rPr>
        <w:t>》。</w:t>
      </w:r>
    </w:p>
    <w:p w14:paraId="01B2E265">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10.JB/T 6880.1 - 2013《泵用灰铸铁件</w:t>
      </w:r>
      <w:bookmarkStart w:id="1" w:name="OLE_LINK2"/>
      <w:r>
        <w:rPr>
          <w:rFonts w:hint="eastAsia" w:ascii="仿宋_GB2312" w:hAnsi="仿宋_GB2312" w:eastAsia="仿宋_GB2312" w:cs="仿宋_GB2312"/>
          <w:sz w:val="30"/>
          <w:szCs w:val="30"/>
          <w:highlight w:val="none"/>
          <w:lang w:val="en-US" w:eastAsia="zh-CN"/>
        </w:rPr>
        <w:t>》</w:t>
      </w:r>
      <w:bookmarkEnd w:id="1"/>
    </w:p>
    <w:p w14:paraId="4D8B0F2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11.JB/T 6880.2 - 2021《泵用铸件 第2部分：泵用铸钢件》</w:t>
      </w:r>
    </w:p>
    <w:p w14:paraId="755F5D95">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12.GB/T1032-2023《三相异步电动机试验方法》</w:t>
      </w:r>
    </w:p>
    <w:p w14:paraId="0FC22C37">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13.GB 18613-2020《电动机能效限定值及能效等级》</w:t>
      </w:r>
    </w:p>
    <w:p w14:paraId="1E21390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14.JB/T5271-2022《Y系列三相异步电动机技术条件》</w:t>
      </w:r>
    </w:p>
    <w:p w14:paraId="1782AAB7">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15.GB/T191-2008《包装储用图示标志》。</w:t>
      </w:r>
    </w:p>
    <w:p w14:paraId="3CA79208">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16.所有设备均按国家最新标准的规定进行组装。</w:t>
      </w:r>
    </w:p>
    <w:p w14:paraId="53AB5751">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17.所提供的备件在现场进行验收，如存在质量问题，乙方无条件负责免费更换。</w:t>
      </w:r>
    </w:p>
    <w:p w14:paraId="61D28ED5">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18.</w:t>
      </w:r>
      <w:r>
        <w:rPr>
          <w:rFonts w:hint="eastAsia" w:ascii="仿宋" w:hAnsi="仿宋" w:eastAsia="仿宋" w:cs="仿宋"/>
          <w:sz w:val="28"/>
          <w:szCs w:val="28"/>
        </w:rPr>
        <w:t>为确保产品质量，交货后电动机交酒钢检修工程部检测，</w:t>
      </w:r>
      <w:r>
        <w:rPr>
          <w:rFonts w:hint="eastAsia" w:ascii="仿宋" w:hAnsi="仿宋" w:eastAsia="仿宋" w:cs="仿宋"/>
          <w:sz w:val="28"/>
          <w:szCs w:val="28"/>
          <w:lang w:val="en-US" w:eastAsia="zh-CN"/>
        </w:rPr>
        <w:t>试验合格并出具合格报告后方可运至安装现场，试验费用由乙方承担，</w:t>
      </w:r>
      <w:r>
        <w:rPr>
          <w:rFonts w:hint="eastAsia" w:ascii="仿宋" w:hAnsi="仿宋" w:eastAsia="仿宋" w:cs="仿宋"/>
          <w:sz w:val="28"/>
          <w:szCs w:val="28"/>
        </w:rPr>
        <w:t>一旦不符合标准要求，甲方有权终止合同，造成的损失由乙方全部承担。</w:t>
      </w:r>
    </w:p>
    <w:p w14:paraId="5885CC8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19.</w:t>
      </w:r>
      <w:r>
        <w:rPr>
          <w:rFonts w:hint="eastAsia" w:ascii="仿宋" w:hAnsi="仿宋" w:eastAsia="仿宋" w:cs="仿宋"/>
          <w:sz w:val="28"/>
          <w:szCs w:val="28"/>
        </w:rPr>
        <w:t>产品质保期为12个月，从设备功能考核合格之日算起，质保期内的产品质量问题，乙方免费维修、更换</w:t>
      </w:r>
      <w:r>
        <w:rPr>
          <w:rFonts w:hint="eastAsia" w:ascii="仿宋" w:hAnsi="仿宋" w:eastAsia="仿宋" w:cs="仿宋"/>
          <w:sz w:val="28"/>
          <w:szCs w:val="28"/>
          <w:lang w:eastAsia="zh-CN"/>
        </w:rPr>
        <w:t>，</w:t>
      </w:r>
      <w:r>
        <w:rPr>
          <w:rFonts w:hint="eastAsia" w:ascii="仿宋" w:hAnsi="仿宋" w:eastAsia="仿宋" w:cs="仿宋"/>
          <w:sz w:val="28"/>
          <w:szCs w:val="28"/>
        </w:rPr>
        <w:t>由于乙方供货设备的质量问题而造成的故障或设备停运，乙方应免费负责</w:t>
      </w:r>
      <w:r>
        <w:rPr>
          <w:rFonts w:hint="eastAsia" w:ascii="仿宋" w:hAnsi="仿宋" w:eastAsia="仿宋" w:cs="仿宋"/>
          <w:sz w:val="28"/>
          <w:szCs w:val="28"/>
          <w:lang w:val="en-US" w:eastAsia="zh-CN"/>
        </w:rPr>
        <w:t>5个工作日内</w:t>
      </w:r>
      <w:r>
        <w:rPr>
          <w:rFonts w:hint="eastAsia" w:ascii="仿宋" w:hAnsi="仿宋" w:eastAsia="仿宋" w:cs="仿宋"/>
          <w:sz w:val="28"/>
          <w:szCs w:val="28"/>
        </w:rPr>
        <w:t>更换有缺陷或损坏的部件，设备的质保期将延长，延长时间为设备重新恢复后12个月。</w:t>
      </w:r>
    </w:p>
    <w:p w14:paraId="0E6B220A">
      <w:pPr>
        <w:spacing w:line="360" w:lineRule="auto"/>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w:t>
      </w:r>
      <w:r>
        <w:rPr>
          <w:rFonts w:hint="eastAsia" w:ascii="仿宋" w:hAnsi="仿宋" w:eastAsia="仿宋" w:cs="仿宋"/>
          <w:sz w:val="28"/>
          <w:szCs w:val="28"/>
        </w:rPr>
        <w:t>为确保产品质量，交货后电动机交酒钢检修工程部检测，试验合格并出具合格报告后方可运至安装现场，试验费用由乙方承担，一旦不符合标准要求，甲方有权终止合同，造成的损失由乙方全部承担。</w:t>
      </w:r>
    </w:p>
    <w:p w14:paraId="722FD72A">
      <w:pPr>
        <w:ind w:firstLine="602" w:firstLineChars="200"/>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五、提供资料</w:t>
      </w:r>
    </w:p>
    <w:p w14:paraId="75063EDB">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1.乙方需提供设备准确的电子版及纸质版如下资料提供给甲方：</w:t>
      </w:r>
    </w:p>
    <w:p w14:paraId="57AB198B">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1.1外购件明细表</w:t>
      </w:r>
    </w:p>
    <w:p w14:paraId="5F2F457A">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1.2备件明细表</w:t>
      </w:r>
    </w:p>
    <w:p w14:paraId="49200BD7">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1.3各部分总图、装配图及零件图</w:t>
      </w:r>
    </w:p>
    <w:p w14:paraId="79875C4E">
      <w:pPr>
        <w:pStyle w:val="5"/>
        <w:ind w:left="0" w:leftChars="0" w:firstLine="600" w:firstLineChars="200"/>
        <w:rPr>
          <w:rFonts w:hint="default"/>
          <w:lang w:val="en-US" w:eastAsia="zh-CN"/>
        </w:rPr>
      </w:pPr>
      <w:r>
        <w:rPr>
          <w:rFonts w:hint="eastAsia" w:ascii="仿宋_GB2312" w:hAnsi="仿宋_GB2312" w:eastAsia="仿宋_GB2312" w:cs="仿宋_GB2312"/>
          <w:sz w:val="30"/>
          <w:szCs w:val="30"/>
          <w:highlight w:val="none"/>
          <w:lang w:val="en-US" w:eastAsia="zh-CN"/>
        </w:rPr>
        <w:t>1.4水泵叶轮、泵轴、轴套、中间接管材质报告</w:t>
      </w:r>
    </w:p>
    <w:p w14:paraId="1EEBD40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2.电动机出厂必须具有出厂检验报告、合格证、产品参数、使用说明书等相关资料，并随货交付甲方；所提供的技术资料须加盖公章，要求资料内容全面，数字准确。</w:t>
      </w:r>
    </w:p>
    <w:p w14:paraId="6ADC1925">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3.提供出厂最终资料</w:t>
      </w:r>
    </w:p>
    <w:p w14:paraId="2C28DF64">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4.邮寄地址</w:t>
      </w:r>
    </w:p>
    <w:p w14:paraId="5A83451F">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甲方邮寄信息：甘肃省嘉峪关市酒钢集团动力厂</w:t>
      </w:r>
    </w:p>
    <w:p w14:paraId="17678AE2">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邮政编码：735100</w:t>
      </w:r>
    </w:p>
    <w:p w14:paraId="154B4C2D">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收件人：祁超</w:t>
      </w:r>
    </w:p>
    <w:p w14:paraId="476E5528">
      <w:pPr>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联系电话：18193770506</w:t>
      </w:r>
    </w:p>
    <w:p w14:paraId="51C9A6DA">
      <w:pPr>
        <w:spacing w:line="480" w:lineRule="auto"/>
        <w:ind w:firstLine="600" w:firstLineChars="200"/>
        <w:rPr>
          <w:rFonts w:hint="default"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电子邮箱：qichaojiugang.com</w:t>
      </w:r>
    </w:p>
    <w:p w14:paraId="4A3D374B">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六、 交货时间及地点</w:t>
      </w:r>
    </w:p>
    <w:p w14:paraId="6ACCCD29">
      <w:pPr>
        <w:tabs>
          <w:tab w:val="left" w:pos="0"/>
          <w:tab w:val="left" w:pos="720"/>
          <w:tab w:val="left" w:pos="900"/>
          <w:tab w:val="left" w:pos="1080"/>
        </w:tabs>
        <w:spacing w:line="360" w:lineRule="auto"/>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1.交货时间：因现场需求紧迫，自合同签订之日起2个月内到货。</w:t>
      </w:r>
    </w:p>
    <w:p w14:paraId="1C76768A">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2.交货地点：甘肃酒钢集团储运物资总库</w:t>
      </w:r>
    </w:p>
    <w:p w14:paraId="46681FDC">
      <w:pPr>
        <w:keepNext w:val="0"/>
        <w:keepLines w:val="0"/>
        <w:pageBreakBefore w:val="0"/>
        <w:widowControl w:val="0"/>
        <w:kinsoku/>
        <w:wordWrap/>
        <w:overflowPunct/>
        <w:topLinePunct w:val="0"/>
        <w:autoSpaceDE/>
        <w:autoSpaceDN/>
        <w:bidi w:val="0"/>
        <w:adjustRightInd/>
        <w:snapToGrid/>
        <w:ind w:firstLine="602" w:firstLineChars="200"/>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七、其他</w:t>
      </w:r>
    </w:p>
    <w:p w14:paraId="64FCB686">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1.本规格书内容经由甲乙双方于</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年</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月</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日</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时至</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时通过</w:t>
      </w:r>
      <w:r>
        <w:rPr>
          <w:rFonts w:hint="eastAsia" w:ascii="仿宋" w:hAnsi="仿宋" w:eastAsia="仿宋" w:cs="仿宋"/>
          <w:kern w:val="2"/>
          <w:sz w:val="28"/>
          <w:szCs w:val="28"/>
          <w:highlight w:val="none"/>
          <w:u w:val="single"/>
          <w:lang w:val="en-US" w:eastAsia="zh-CN" w:bidi="ar-SA"/>
        </w:rPr>
        <w:t>                              </w:t>
      </w:r>
      <w:r>
        <w:rPr>
          <w:rFonts w:hint="eastAsia" w:ascii="仿宋" w:hAnsi="仿宋" w:eastAsia="仿宋" w:cs="仿宋"/>
          <w:kern w:val="2"/>
          <w:sz w:val="28"/>
          <w:szCs w:val="28"/>
          <w:highlight w:val="none"/>
          <w:lang w:val="en-US" w:eastAsia="zh-CN" w:bidi="ar-SA"/>
        </w:rPr>
        <w:t>方式商定。</w:t>
      </w:r>
    </w:p>
    <w:p w14:paraId="15CDF1FB">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2甲乙双方应当就签订本规格书的相关事宜保密，不得将签订主体、时间、内容等信息透露给其他第三人。</w:t>
      </w:r>
    </w:p>
    <w:p w14:paraId="3BB7C537">
      <w:pPr>
        <w:keepNext w:val="0"/>
        <w:keepLines w:val="0"/>
        <w:pageBreakBefore w:val="0"/>
        <w:widowControl/>
        <w:suppressLineNumbers w:val="0"/>
        <w:kinsoku/>
        <w:wordWrap/>
        <w:overflowPunct/>
        <w:topLinePunct w:val="0"/>
        <w:autoSpaceDE/>
        <w:autoSpaceDN/>
        <w:bidi w:val="0"/>
        <w:adjustRightInd/>
        <w:snapToGrid/>
        <w:spacing w:before="10" w:beforeAutospacing="0" w:after="10" w:afterAutospacing="0" w:line="360" w:lineRule="auto"/>
        <w:ind w:right="0" w:firstLine="560" w:firstLineChars="2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3 若 </w:t>
      </w:r>
      <w:r>
        <w:rPr>
          <w:rFonts w:hint="eastAsia" w:ascii="仿宋" w:hAnsi="仿宋" w:eastAsia="仿宋" w:cs="仿宋"/>
          <w:kern w:val="2"/>
          <w:sz w:val="28"/>
          <w:szCs w:val="28"/>
          <w:highlight w:val="none"/>
          <w:u w:val="single"/>
          <w:lang w:val="en-US" w:eastAsia="zh-CN" w:bidi="ar-SA"/>
        </w:rPr>
        <w:t xml:space="preserve">                     </w:t>
      </w:r>
      <w:r>
        <w:rPr>
          <w:rFonts w:hint="eastAsia" w:ascii="仿宋" w:hAnsi="仿宋" w:eastAsia="仿宋" w:cs="仿宋"/>
          <w:kern w:val="2"/>
          <w:sz w:val="28"/>
          <w:szCs w:val="28"/>
          <w:highlight w:val="none"/>
          <w:lang w:val="en-US" w:eastAsia="zh-CN" w:bidi="ar-SA"/>
        </w:rPr>
        <w:t>  单位不中标，本技术规格书自动失效，双方互不承担任何责任。</w:t>
      </w:r>
    </w:p>
    <w:p w14:paraId="028B771E">
      <w:pPr>
        <w:pStyle w:val="5"/>
        <w:keepNext w:val="0"/>
        <w:keepLines w:val="0"/>
        <w:pageBreakBefore w:val="0"/>
        <w:kinsoku/>
        <w:wordWrap/>
        <w:overflowPunct/>
        <w:topLinePunct w:val="0"/>
        <w:autoSpaceDE/>
        <w:autoSpaceDN/>
        <w:bidi w:val="0"/>
        <w:adjustRightInd/>
        <w:snapToGrid/>
        <w:spacing w:before="10" w:beforeAutospacing="0" w:after="10" w:afterAutospacing="0" w:line="360" w:lineRule="auto"/>
        <w:ind w:left="0" w:leftChars="0" w:firstLine="560" w:firstLineChars="200"/>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4本规格书一式四份，甲方三份，乙方一份其他未尽事宜，双方友好协商。</w:t>
      </w:r>
    </w:p>
    <w:p w14:paraId="00DD87AC">
      <w:pPr>
        <w:pStyle w:val="5"/>
        <w:ind w:left="0" w:leftChars="0" w:firstLine="562" w:firstLineChars="200"/>
        <w:rPr>
          <w:rFonts w:hint="eastAsia" w:ascii="仿宋_GB2312" w:hAnsi="仿宋_GB2312" w:eastAsia="仿宋_GB2312" w:cs="仿宋_GB2312"/>
          <w:b/>
          <w:bCs/>
          <w:color w:val="FF0000"/>
          <w:kern w:val="2"/>
          <w:sz w:val="28"/>
          <w:szCs w:val="28"/>
          <w:highlight w:val="none"/>
          <w:lang w:val="en-US" w:eastAsia="zh-CN"/>
        </w:rPr>
      </w:pPr>
    </w:p>
    <w:p w14:paraId="5A87A62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lang w:eastAsia="zh-CN"/>
        </w:rPr>
      </w:pPr>
      <w:r>
        <w:rPr>
          <w:rFonts w:hint="eastAsia" w:ascii="仿宋_GB2312" w:hAnsi="仿宋_GB2312" w:eastAsia="仿宋_GB2312" w:cs="仿宋_GB2312"/>
          <w:b w:val="0"/>
          <w:bCs w:val="0"/>
          <w:sz w:val="28"/>
          <w:szCs w:val="28"/>
          <w:highlight w:val="none"/>
        </w:rPr>
        <w:t>甲方：（行政公章）</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乙方：（合同专用章）</w:t>
      </w:r>
    </w:p>
    <w:p w14:paraId="2D7595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rPr>
      </w:pPr>
    </w:p>
    <w:p w14:paraId="138EC1E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 w:val="0"/>
          <w:bCs w:val="0"/>
          <w:sz w:val="28"/>
          <w:szCs w:val="28"/>
          <w:highlight w:val="none"/>
        </w:rPr>
      </w:pPr>
      <w:r>
        <w:rPr>
          <w:rFonts w:hint="eastAsia" w:ascii="仿宋_GB2312" w:hAnsi="仿宋_GB2312" w:eastAsia="仿宋_GB2312" w:cs="仿宋_GB2312"/>
          <w:b w:val="0"/>
          <w:bCs w:val="0"/>
          <w:sz w:val="28"/>
          <w:szCs w:val="28"/>
          <w:highlight w:val="none"/>
        </w:rPr>
        <w:t>甲方代表：</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乙方代表：</w:t>
      </w:r>
    </w:p>
    <w:p w14:paraId="6CC5C3BE">
      <w:pPr>
        <w:keepNext w:val="0"/>
        <w:keepLines w:val="0"/>
        <w:pageBreakBefore w:val="0"/>
        <w:widowControl w:val="0"/>
        <w:kinsoku/>
        <w:wordWrap/>
        <w:overflowPunct/>
        <w:topLinePunct w:val="0"/>
        <w:autoSpaceDE/>
        <w:autoSpaceDN/>
        <w:bidi w:val="0"/>
        <w:adjustRightInd/>
        <w:snapToGrid/>
        <w:ind w:firstLine="840" w:firstLineChars="300"/>
        <w:textAlignment w:val="auto"/>
        <w:rPr>
          <w:rFonts w:hint="eastAsia" w:ascii="仿宋_GB2312" w:hAnsi="仿宋_GB2312" w:eastAsia="仿宋_GB2312" w:cs="仿宋_GB2312"/>
          <w:b w:val="0"/>
          <w:bCs w:val="0"/>
          <w:sz w:val="28"/>
          <w:szCs w:val="28"/>
          <w:highlight w:val="none"/>
        </w:rPr>
      </w:pPr>
    </w:p>
    <w:p w14:paraId="24FF2B7C">
      <w:pPr>
        <w:keepNext w:val="0"/>
        <w:keepLines w:val="0"/>
        <w:pageBreakBefore w:val="0"/>
        <w:widowControl w:val="0"/>
        <w:kinsoku/>
        <w:wordWrap/>
        <w:overflowPunct/>
        <w:topLinePunct w:val="0"/>
        <w:autoSpaceDE/>
        <w:autoSpaceDN/>
        <w:bidi w:val="0"/>
        <w:adjustRightInd/>
        <w:snapToGrid/>
        <w:ind w:firstLine="560" w:firstLineChars="200"/>
        <w:textAlignment w:val="auto"/>
        <w:rPr>
          <w:highlight w:val="none"/>
        </w:rPr>
      </w:pP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月</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日</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年</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月</w:t>
      </w:r>
      <w:r>
        <w:rPr>
          <w:rFonts w:hint="eastAsia" w:ascii="仿宋_GB2312" w:hAnsi="仿宋_GB2312" w:eastAsia="仿宋_GB2312" w:cs="仿宋_GB2312"/>
          <w:b w:val="0"/>
          <w:bCs w:val="0"/>
          <w:sz w:val="28"/>
          <w:szCs w:val="28"/>
          <w:highlight w:val="none"/>
          <w:lang w:val="en-US" w:eastAsia="zh-CN"/>
        </w:rPr>
        <w:t xml:space="preserve">    </w:t>
      </w:r>
      <w:r>
        <w:rPr>
          <w:rFonts w:hint="eastAsia" w:ascii="仿宋_GB2312" w:hAnsi="仿宋_GB2312" w:eastAsia="仿宋_GB2312" w:cs="仿宋_GB2312"/>
          <w:b w:val="0"/>
          <w:bCs w:val="0"/>
          <w:sz w:val="28"/>
          <w:szCs w:val="28"/>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xMjdlNjJlYjZiMmZiMGNhMmY2NGFmYjE3NWVhYzEifQ=="/>
    <w:docVar w:name="KSO_WPS_MARK_KEY" w:val="a500afda-3820-486e-8387-4c5cc3de8f85"/>
  </w:docVars>
  <w:rsids>
    <w:rsidRoot w:val="594B5862"/>
    <w:rsid w:val="0011760F"/>
    <w:rsid w:val="001F6272"/>
    <w:rsid w:val="00DD49DE"/>
    <w:rsid w:val="01B31F19"/>
    <w:rsid w:val="01B6046E"/>
    <w:rsid w:val="01E91752"/>
    <w:rsid w:val="02316DA6"/>
    <w:rsid w:val="02BF77F6"/>
    <w:rsid w:val="0392696A"/>
    <w:rsid w:val="03DF1EFE"/>
    <w:rsid w:val="04014B7B"/>
    <w:rsid w:val="051E7E95"/>
    <w:rsid w:val="055A1B99"/>
    <w:rsid w:val="05C00EF6"/>
    <w:rsid w:val="05C12778"/>
    <w:rsid w:val="07CC5B4B"/>
    <w:rsid w:val="087E498A"/>
    <w:rsid w:val="089A7499"/>
    <w:rsid w:val="08A92ADB"/>
    <w:rsid w:val="0B1E5EAE"/>
    <w:rsid w:val="0B2B77D7"/>
    <w:rsid w:val="0BF25C04"/>
    <w:rsid w:val="0EF33188"/>
    <w:rsid w:val="0F052A35"/>
    <w:rsid w:val="0F0A4B70"/>
    <w:rsid w:val="10283A27"/>
    <w:rsid w:val="104430E9"/>
    <w:rsid w:val="11C24337"/>
    <w:rsid w:val="12597D74"/>
    <w:rsid w:val="12F6691D"/>
    <w:rsid w:val="14EF5D19"/>
    <w:rsid w:val="159331B1"/>
    <w:rsid w:val="15A80030"/>
    <w:rsid w:val="160B3C19"/>
    <w:rsid w:val="17E80AF4"/>
    <w:rsid w:val="183C1F34"/>
    <w:rsid w:val="18E15979"/>
    <w:rsid w:val="19CF33BC"/>
    <w:rsid w:val="1A7C004F"/>
    <w:rsid w:val="1B544B28"/>
    <w:rsid w:val="1B862808"/>
    <w:rsid w:val="1B8D55D9"/>
    <w:rsid w:val="1BA70D9E"/>
    <w:rsid w:val="1BC108AD"/>
    <w:rsid w:val="1C375D82"/>
    <w:rsid w:val="1D5030CD"/>
    <w:rsid w:val="1DB65D2D"/>
    <w:rsid w:val="1DEB0A3D"/>
    <w:rsid w:val="1DF6014E"/>
    <w:rsid w:val="1E0839A8"/>
    <w:rsid w:val="1E675193"/>
    <w:rsid w:val="1F907DF6"/>
    <w:rsid w:val="20232FD0"/>
    <w:rsid w:val="20F5411B"/>
    <w:rsid w:val="235B27CC"/>
    <w:rsid w:val="23D74264"/>
    <w:rsid w:val="24436901"/>
    <w:rsid w:val="25DC4098"/>
    <w:rsid w:val="26061115"/>
    <w:rsid w:val="260B1944"/>
    <w:rsid w:val="268C50AF"/>
    <w:rsid w:val="26B134AE"/>
    <w:rsid w:val="26DC2FC8"/>
    <w:rsid w:val="29195622"/>
    <w:rsid w:val="2938306B"/>
    <w:rsid w:val="29CC61D1"/>
    <w:rsid w:val="2A6A27A6"/>
    <w:rsid w:val="2B000807"/>
    <w:rsid w:val="2BB72AE9"/>
    <w:rsid w:val="2BF57C61"/>
    <w:rsid w:val="2D295FFA"/>
    <w:rsid w:val="2E345392"/>
    <w:rsid w:val="2E5D1AEE"/>
    <w:rsid w:val="2E67471B"/>
    <w:rsid w:val="2F242E86"/>
    <w:rsid w:val="2FC00586"/>
    <w:rsid w:val="30F1651D"/>
    <w:rsid w:val="315B638E"/>
    <w:rsid w:val="3291620A"/>
    <w:rsid w:val="339B334D"/>
    <w:rsid w:val="33F962AE"/>
    <w:rsid w:val="35244DDA"/>
    <w:rsid w:val="35586B6B"/>
    <w:rsid w:val="35A84346"/>
    <w:rsid w:val="365B4B65"/>
    <w:rsid w:val="36941E25"/>
    <w:rsid w:val="36967292"/>
    <w:rsid w:val="37F92887"/>
    <w:rsid w:val="3A3077F6"/>
    <w:rsid w:val="3B5707FD"/>
    <w:rsid w:val="3B611AA3"/>
    <w:rsid w:val="3C6513C7"/>
    <w:rsid w:val="3C95522E"/>
    <w:rsid w:val="3EAB0654"/>
    <w:rsid w:val="432A0413"/>
    <w:rsid w:val="43486471"/>
    <w:rsid w:val="43707776"/>
    <w:rsid w:val="43F90B47"/>
    <w:rsid w:val="44184095"/>
    <w:rsid w:val="44D80D9D"/>
    <w:rsid w:val="452C0518"/>
    <w:rsid w:val="45B425BB"/>
    <w:rsid w:val="46086691"/>
    <w:rsid w:val="46420BB9"/>
    <w:rsid w:val="471E6CB2"/>
    <w:rsid w:val="47335B2B"/>
    <w:rsid w:val="477908C5"/>
    <w:rsid w:val="47EF6A5A"/>
    <w:rsid w:val="48BD345D"/>
    <w:rsid w:val="49583F65"/>
    <w:rsid w:val="49AC231F"/>
    <w:rsid w:val="4A0777E2"/>
    <w:rsid w:val="4B1370D6"/>
    <w:rsid w:val="4B7807F0"/>
    <w:rsid w:val="4C13795C"/>
    <w:rsid w:val="4CF03E01"/>
    <w:rsid w:val="4DA8648A"/>
    <w:rsid w:val="4DF655CB"/>
    <w:rsid w:val="500656EA"/>
    <w:rsid w:val="50940F47"/>
    <w:rsid w:val="509C7DFC"/>
    <w:rsid w:val="5244074B"/>
    <w:rsid w:val="533914B0"/>
    <w:rsid w:val="535350EA"/>
    <w:rsid w:val="53783F59"/>
    <w:rsid w:val="563C14CF"/>
    <w:rsid w:val="56C113D0"/>
    <w:rsid w:val="57CB50E3"/>
    <w:rsid w:val="58181924"/>
    <w:rsid w:val="594B5862"/>
    <w:rsid w:val="59592D2E"/>
    <w:rsid w:val="597E2795"/>
    <w:rsid w:val="5A6A3A9A"/>
    <w:rsid w:val="5ACB1A0A"/>
    <w:rsid w:val="5D7F7219"/>
    <w:rsid w:val="5E491788"/>
    <w:rsid w:val="5E930298"/>
    <w:rsid w:val="5F02037C"/>
    <w:rsid w:val="602816AC"/>
    <w:rsid w:val="60B63BB6"/>
    <w:rsid w:val="61DF2ABD"/>
    <w:rsid w:val="62894684"/>
    <w:rsid w:val="635D67A5"/>
    <w:rsid w:val="650D1829"/>
    <w:rsid w:val="66B77940"/>
    <w:rsid w:val="675039C2"/>
    <w:rsid w:val="682633BC"/>
    <w:rsid w:val="68364B76"/>
    <w:rsid w:val="68776234"/>
    <w:rsid w:val="694A43E3"/>
    <w:rsid w:val="696A217D"/>
    <w:rsid w:val="69EA35F3"/>
    <w:rsid w:val="6A451582"/>
    <w:rsid w:val="6A8C0C7A"/>
    <w:rsid w:val="6A927E4E"/>
    <w:rsid w:val="6A995680"/>
    <w:rsid w:val="6AC27E30"/>
    <w:rsid w:val="6B7316A4"/>
    <w:rsid w:val="6BEC40BD"/>
    <w:rsid w:val="6C1256EA"/>
    <w:rsid w:val="6C694A9E"/>
    <w:rsid w:val="6CE96A9D"/>
    <w:rsid w:val="6D3E250F"/>
    <w:rsid w:val="6D7379C8"/>
    <w:rsid w:val="6F5E0C47"/>
    <w:rsid w:val="6F9B3C4B"/>
    <w:rsid w:val="6FD11419"/>
    <w:rsid w:val="71662034"/>
    <w:rsid w:val="726F3BE8"/>
    <w:rsid w:val="72AC61E6"/>
    <w:rsid w:val="72DA1BEF"/>
    <w:rsid w:val="735C46EA"/>
    <w:rsid w:val="73612AB3"/>
    <w:rsid w:val="74D27A25"/>
    <w:rsid w:val="755A4B23"/>
    <w:rsid w:val="76746FA2"/>
    <w:rsid w:val="77003109"/>
    <w:rsid w:val="77E57668"/>
    <w:rsid w:val="783236CF"/>
    <w:rsid w:val="78BD2FBE"/>
    <w:rsid w:val="78FF42F3"/>
    <w:rsid w:val="79152598"/>
    <w:rsid w:val="7A3440E0"/>
    <w:rsid w:val="7A3F1961"/>
    <w:rsid w:val="7AD20E58"/>
    <w:rsid w:val="7B4211B2"/>
    <w:rsid w:val="7B751CA0"/>
    <w:rsid w:val="7C286558"/>
    <w:rsid w:val="7F00119D"/>
    <w:rsid w:val="7F953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wordWrap w:val="0"/>
      <w:autoSpaceDE/>
      <w:autoSpaceDN/>
      <w:spacing w:before="0" w:after="0" w:line="240" w:lineRule="auto"/>
      <w:ind w:left="0" w:firstLine="0"/>
      <w:jc w:val="both"/>
    </w:pPr>
    <w:rPr>
      <w:rFonts w:ascii="宋体" w:hAnsi="Times New Roman" w:eastAsia="Calibri" w:cs="Times New Roman"/>
      <w:sz w:val="21"/>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Indent"/>
    <w:basedOn w:val="1"/>
    <w:autoRedefine/>
    <w:qFormat/>
    <w:uiPriority w:val="0"/>
    <w:pPr>
      <w:ind w:firstLine="480"/>
    </w:pPr>
    <w:rPr>
      <w:rFonts w:hAnsi="Times New Roman"/>
      <w:sz w:val="24"/>
      <w:szCs w:val="24"/>
    </w:rPr>
  </w:style>
  <w:style w:type="paragraph" w:styleId="4">
    <w:name w:val="Plain Text"/>
    <w:basedOn w:val="1"/>
    <w:autoRedefine/>
    <w:qFormat/>
    <w:uiPriority w:val="0"/>
    <w:pPr>
      <w:widowControl w:val="0"/>
      <w:jc w:val="both"/>
    </w:pPr>
    <w:rPr>
      <w:rFonts w:ascii="宋体" w:hAnsi="Courier New"/>
      <w:kern w:val="2"/>
      <w:sz w:val="21"/>
    </w:rPr>
  </w:style>
  <w:style w:type="paragraph" w:styleId="5">
    <w:name w:val="Body Text First Indent 2"/>
    <w:basedOn w:val="3"/>
    <w:autoRedefine/>
    <w:qFormat/>
    <w:uiPriority w:val="0"/>
    <w:pPr>
      <w:spacing w:after="120" w:line="560" w:lineRule="exact"/>
      <w:ind w:left="420" w:leftChars="200" w:firstLine="420"/>
    </w:pPr>
    <w:rPr>
      <w:rFonts w:hAnsi="宋体"/>
      <w:sz w:val="28"/>
      <w:szCs w:val="22"/>
    </w:rPr>
  </w:style>
  <w:style w:type="paragraph" w:customStyle="1" w:styleId="8">
    <w:name w:val="样式 样式 行距: 1.5 倍行距 + 两端对齐 Char"/>
    <w:basedOn w:val="1"/>
    <w:autoRedefine/>
    <w:qFormat/>
    <w:uiPriority w:val="99"/>
    <w:pPr>
      <w:tabs>
        <w:tab w:val="left" w:pos="720"/>
      </w:tabs>
      <w:adjustRightInd w:val="0"/>
      <w:snapToGrid w:val="0"/>
      <w:ind w:firstLine="480" w:firstLineChars="200"/>
    </w:pPr>
    <w:rPr>
      <w:rFonts w:ascii="宋体" w:hAnsi="宋体" w:cs="宋体"/>
    </w:rPr>
  </w:style>
  <w:style w:type="paragraph" w:customStyle="1" w:styleId="9">
    <w:name w:val="Table Text"/>
    <w:basedOn w:val="1"/>
    <w:autoRedefine/>
    <w:semiHidden/>
    <w:qFormat/>
    <w:uiPriority w:val="0"/>
    <w:rPr>
      <w:rFonts w:ascii="仿宋" w:hAnsi="仿宋" w:eastAsia="仿宋" w:cs="仿宋"/>
      <w:sz w:val="24"/>
      <w:szCs w:val="24"/>
      <w:lang w:val="en-US" w:eastAsia="en-US" w:bidi="ar-SA"/>
    </w:rPr>
  </w:style>
  <w:style w:type="table" w:customStyle="1" w:styleId="1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1464</Words>
  <Characters>1598</Characters>
  <Lines>0</Lines>
  <Paragraphs>0</Paragraphs>
  <TotalTime>11</TotalTime>
  <ScaleCrop>false</ScaleCrop>
  <LinksUpToDate>false</LinksUpToDate>
  <CharactersWithSpaces>1634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2022-08-24T12:51:00Z</dcterms:created>
  <dc:creator>Administrator</dc:creator>
  <cp:lastModifiedBy>00064841</cp:lastModifiedBy>
  <cp:lastPrinted>2025-12-05T01:43:00Z</cp:lastPrinted>
  <dcterms:modified xsi:type="dcterms:W3CDTF">2026-03-24T08:47:21Z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79584817E28B445AA0AB88B956229B39_13</vt:lpwstr>
  </property>
  <property fmtid="{D5CDD505-2E9C-101B-9397-08002B2CF9AE}" pid="4" name="KSOTemplateDocerSaveRecord">
    <vt:lpwstr>eyJoZGlkIjoiYTQ0MjM2MjJjZTA0Y2Q3NDk1MmJhNDM0MTQ4YjZlNTAiLCJ1c2VySWQiOiIxNzY0MzE3NDQwIn0=</vt:lpwstr>
  </property>
</Properties>
</file>